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360" w:lineRule="auto"/>
        <w:rPr>
          <w:rFonts w:ascii="Arial" w:hAnsi="Arial" w:eastAsia="宋体" w:cs="Arial"/>
          <w:szCs w:val="44"/>
        </w:rPr>
      </w:pPr>
      <w:r>
        <w:rPr>
          <w:rFonts w:hint="eastAsia" w:ascii="Arial" w:hAnsi="Arial" w:eastAsia="宋体" w:cs="Arial"/>
          <w:szCs w:val="44"/>
          <w:lang w:val="en-US" w:eastAsia="zh-CN"/>
        </w:rPr>
        <w:t xml:space="preserve">     </w:t>
      </w:r>
      <w:r>
        <w:rPr>
          <w:rFonts w:hint="eastAsia" w:ascii="Arial" w:hAnsi="Arial" w:eastAsia="宋体" w:cs="Arial"/>
          <w:szCs w:val="44"/>
        </w:rPr>
        <w:t>评标办法（综合评估法）</w:t>
      </w:r>
    </w:p>
    <w:p>
      <w:pPr>
        <w:spacing w:line="360" w:lineRule="auto"/>
        <w:jc w:val="center"/>
        <w:rPr>
          <w:rFonts w:ascii="Arial" w:hAnsi="Arial" w:cs="Arial"/>
          <w:b/>
          <w:bCs/>
          <w:sz w:val="32"/>
          <w:szCs w:val="32"/>
        </w:rPr>
      </w:pPr>
      <w:r>
        <w:rPr>
          <w:rFonts w:ascii="Arial" w:hAnsi="Arial" w:cs="Arial"/>
          <w:b/>
          <w:bCs/>
          <w:sz w:val="32"/>
          <w:szCs w:val="32"/>
        </w:rPr>
        <w:t>评标办法前附表</w:t>
      </w:r>
    </w:p>
    <w:tbl>
      <w:tblPr>
        <w:tblStyle w:val="6"/>
        <w:tblW w:w="9191"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3"/>
        <w:gridCol w:w="17"/>
        <w:gridCol w:w="550"/>
        <w:gridCol w:w="447"/>
        <w:gridCol w:w="120"/>
        <w:gridCol w:w="992"/>
        <w:gridCol w:w="313"/>
        <w:gridCol w:w="5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007" w:type="dxa"/>
            <w:gridSpan w:val="5"/>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条款号</w:t>
            </w:r>
          </w:p>
        </w:tc>
        <w:tc>
          <w:tcPr>
            <w:tcW w:w="7184" w:type="dxa"/>
            <w:gridSpan w:val="3"/>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评审因素与评审标准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3" w:type="dxa"/>
            <w:noWrap w:val="0"/>
            <w:vAlign w:val="center"/>
          </w:tcPr>
          <w:p>
            <w:pPr>
              <w:spacing w:line="276" w:lineRule="auto"/>
              <w:jc w:val="center"/>
              <w:rPr>
                <w:rFonts w:ascii="Arial" w:hAnsi="Arial" w:cs="Arial"/>
                <w:sz w:val="24"/>
                <w:lang w:eastAsia="en-US"/>
              </w:rPr>
            </w:pPr>
            <w:r>
              <w:rPr>
                <w:rFonts w:ascii="Arial" w:hAnsi="Arial" w:cs="Arial"/>
                <w:sz w:val="24"/>
                <w:lang w:eastAsia="en-US"/>
              </w:rPr>
              <w:t>1</w:t>
            </w:r>
          </w:p>
        </w:tc>
        <w:tc>
          <w:tcPr>
            <w:tcW w:w="1134" w:type="dxa"/>
            <w:gridSpan w:val="4"/>
            <w:noWrap w:val="0"/>
            <w:vAlign w:val="center"/>
          </w:tcPr>
          <w:p>
            <w:pPr>
              <w:spacing w:line="276" w:lineRule="auto"/>
              <w:jc w:val="center"/>
              <w:rPr>
                <w:rFonts w:ascii="Arial" w:hAnsi="Arial" w:cs="Arial"/>
                <w:sz w:val="24"/>
                <w:lang w:eastAsia="en-US"/>
              </w:rPr>
            </w:pPr>
            <w:r>
              <w:rPr>
                <w:rFonts w:ascii="Arial" w:hAnsi="Arial" w:cs="Arial"/>
                <w:sz w:val="24"/>
                <w:lang w:eastAsia="en-US"/>
              </w:rPr>
              <w:t>评标方法</w:t>
            </w:r>
          </w:p>
        </w:tc>
        <w:tc>
          <w:tcPr>
            <w:tcW w:w="7184" w:type="dxa"/>
            <w:gridSpan w:val="3"/>
            <w:noWrap w:val="0"/>
            <w:vAlign w:val="center"/>
          </w:tcPr>
          <w:p>
            <w:pPr>
              <w:spacing w:line="276" w:lineRule="auto"/>
              <w:rPr>
                <w:rFonts w:ascii="Arial" w:hAnsi="Arial" w:cs="Arial"/>
                <w:sz w:val="24"/>
              </w:rPr>
            </w:pPr>
            <w:r>
              <w:rPr>
                <w:rFonts w:ascii="Arial" w:hAnsi="Arial" w:cs="Arial"/>
                <w:sz w:val="24"/>
              </w:rPr>
              <w:t>评分相等时，评标委员会依次按照以下优先顺序推荐中标候选人或确定中标人：</w:t>
            </w:r>
          </w:p>
          <w:p>
            <w:pPr>
              <w:spacing w:line="276" w:lineRule="auto"/>
              <w:rPr>
                <w:rFonts w:ascii="Arial" w:hAnsi="Arial" w:cs="Arial"/>
                <w:sz w:val="24"/>
              </w:rPr>
            </w:pPr>
            <w:r>
              <w:rPr>
                <w:rFonts w:ascii="Arial" w:hAnsi="Arial" w:cs="Arial"/>
                <w:sz w:val="24"/>
              </w:rPr>
              <w:t>（1）评标价低的投标人优先；</w:t>
            </w:r>
          </w:p>
          <w:p>
            <w:pPr>
              <w:spacing w:line="276" w:lineRule="auto"/>
              <w:rPr>
                <w:rFonts w:hint="eastAsia" w:ascii="Arial" w:hAnsi="Arial" w:cs="Arial"/>
                <w:sz w:val="24"/>
              </w:rPr>
            </w:pPr>
            <w:r>
              <w:rPr>
                <w:rFonts w:ascii="Arial" w:hAnsi="Arial" w:cs="Arial"/>
                <w:sz w:val="24"/>
              </w:rPr>
              <w:t>（2）商务和技术得分较高的投标人优先；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3" w:type="dxa"/>
            <w:noWrap w:val="0"/>
            <w:vAlign w:val="center"/>
          </w:tcPr>
          <w:p>
            <w:pPr>
              <w:spacing w:line="276" w:lineRule="auto"/>
              <w:jc w:val="center"/>
              <w:rPr>
                <w:rFonts w:ascii="Arial" w:hAnsi="Arial" w:cs="Arial"/>
                <w:sz w:val="24"/>
                <w:lang w:eastAsia="en-US"/>
              </w:rPr>
            </w:pPr>
            <w:r>
              <w:rPr>
                <w:rFonts w:ascii="Arial" w:hAnsi="Arial" w:cs="Arial"/>
                <w:sz w:val="24"/>
                <w:lang w:eastAsia="en-US"/>
              </w:rPr>
              <w:t>2.1.1</w:t>
            </w:r>
          </w:p>
          <w:p>
            <w:pPr>
              <w:spacing w:line="276" w:lineRule="auto"/>
              <w:jc w:val="center"/>
              <w:rPr>
                <w:rFonts w:ascii="Arial" w:hAnsi="Arial" w:cs="Arial"/>
                <w:sz w:val="24"/>
                <w:lang w:eastAsia="en-US"/>
              </w:rPr>
            </w:pPr>
            <w:r>
              <w:rPr>
                <w:rFonts w:ascii="Arial" w:hAnsi="Arial" w:cs="Arial"/>
                <w:sz w:val="24"/>
                <w:lang w:eastAsia="en-US"/>
              </w:rPr>
              <w:t>2.1.3</w:t>
            </w:r>
          </w:p>
        </w:tc>
        <w:tc>
          <w:tcPr>
            <w:tcW w:w="1134" w:type="dxa"/>
            <w:gridSpan w:val="4"/>
            <w:noWrap w:val="0"/>
            <w:vAlign w:val="center"/>
          </w:tcPr>
          <w:p>
            <w:pPr>
              <w:spacing w:line="276" w:lineRule="auto"/>
              <w:jc w:val="center"/>
              <w:rPr>
                <w:rFonts w:ascii="Arial" w:hAnsi="Arial" w:cs="Arial"/>
                <w:sz w:val="24"/>
              </w:rPr>
            </w:pPr>
            <w:bookmarkStart w:id="0" w:name="_Hlk60911982"/>
            <w:r>
              <w:rPr>
                <w:rFonts w:ascii="Arial" w:hAnsi="Arial" w:cs="Arial"/>
                <w:sz w:val="24"/>
              </w:rPr>
              <w:t>形式评审与响应性评审</w:t>
            </w:r>
            <w:bookmarkEnd w:id="0"/>
            <w:r>
              <w:rPr>
                <w:rFonts w:ascii="Arial" w:hAnsi="Arial" w:cs="Arial"/>
                <w:sz w:val="24"/>
              </w:rPr>
              <w:t>标准</w:t>
            </w:r>
          </w:p>
        </w:tc>
        <w:tc>
          <w:tcPr>
            <w:tcW w:w="7184" w:type="dxa"/>
            <w:gridSpan w:val="3"/>
            <w:noWrap w:val="0"/>
            <w:vAlign w:val="center"/>
          </w:tcPr>
          <w:p>
            <w:pPr>
              <w:spacing w:line="276" w:lineRule="auto"/>
              <w:rPr>
                <w:rFonts w:ascii="Arial" w:hAnsi="Arial" w:cs="Arial"/>
                <w:sz w:val="24"/>
              </w:rPr>
            </w:pPr>
            <w:r>
              <w:rPr>
                <w:rFonts w:ascii="Arial" w:hAnsi="Arial" w:cs="Arial"/>
                <w:sz w:val="24"/>
              </w:rPr>
              <w:t>1.投标人（供应商）名称营业执照一致；</w:t>
            </w:r>
          </w:p>
          <w:p>
            <w:pPr>
              <w:spacing w:line="276" w:lineRule="auto"/>
              <w:rPr>
                <w:rFonts w:hint="eastAsia" w:ascii="Arial" w:hAnsi="Arial" w:cs="Arial"/>
                <w:sz w:val="24"/>
              </w:rPr>
            </w:pPr>
            <w:r>
              <w:rPr>
                <w:rFonts w:ascii="Arial" w:hAnsi="Arial" w:cs="Arial"/>
                <w:sz w:val="24"/>
              </w:rPr>
              <w:t>2.</w:t>
            </w:r>
            <w:r>
              <w:rPr>
                <w:rFonts w:hint="eastAsia" w:ascii="Arial" w:hAnsi="Arial" w:cs="Arial"/>
                <w:sz w:val="24"/>
              </w:rPr>
              <w:t>本项目按折扣报价，折扣率不得超过100%。</w:t>
            </w:r>
          </w:p>
          <w:p>
            <w:pPr>
              <w:spacing w:line="276" w:lineRule="auto"/>
              <w:rPr>
                <w:rFonts w:ascii="Arial" w:hAnsi="Arial" w:cs="Arial"/>
                <w:sz w:val="24"/>
              </w:rPr>
            </w:pPr>
            <w:r>
              <w:rPr>
                <w:rFonts w:ascii="Arial" w:hAnsi="Arial" w:cs="Arial"/>
                <w:sz w:val="24"/>
              </w:rPr>
              <w:t>3.投标有</w:t>
            </w:r>
            <w:r>
              <w:rPr>
                <w:rFonts w:hint="eastAsia" w:ascii="Arial" w:hAnsi="Arial" w:cs="Arial"/>
                <w:sz w:val="24"/>
              </w:rPr>
              <w:t>效</w:t>
            </w:r>
            <w:r>
              <w:rPr>
                <w:rFonts w:ascii="Arial" w:hAnsi="Arial" w:cs="Arial"/>
                <w:sz w:val="24"/>
              </w:rPr>
              <w:t>限期满足招标（采购）文件的要求；</w:t>
            </w:r>
          </w:p>
          <w:p>
            <w:pPr>
              <w:spacing w:line="276" w:lineRule="auto"/>
              <w:rPr>
                <w:rFonts w:hint="eastAsia" w:ascii="Arial" w:hAnsi="Arial" w:cs="Arial"/>
                <w:sz w:val="24"/>
              </w:rPr>
            </w:pPr>
            <w:r>
              <w:rPr>
                <w:rFonts w:ascii="Arial" w:hAnsi="Arial" w:cs="Arial"/>
                <w:sz w:val="24"/>
              </w:rPr>
              <w:t>4.投标</w:t>
            </w:r>
            <w:r>
              <w:rPr>
                <w:rFonts w:hint="eastAsia" w:ascii="Arial" w:hAnsi="Arial" w:cs="Arial"/>
                <w:sz w:val="24"/>
              </w:rPr>
              <w:t>响应文件</w:t>
            </w:r>
            <w:r>
              <w:rPr>
                <w:rFonts w:ascii="Arial" w:hAnsi="Arial" w:cs="Arial"/>
                <w:sz w:val="24"/>
              </w:rPr>
              <w:t>按照招标（采购）文件要求密封、签署、盖章、装订；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3" w:type="dxa"/>
            <w:shd w:val="clear" w:color="auto" w:fill="FFFFFF"/>
            <w:noWrap w:val="0"/>
            <w:vAlign w:val="center"/>
          </w:tcPr>
          <w:p>
            <w:pPr>
              <w:spacing w:line="276" w:lineRule="auto"/>
              <w:jc w:val="center"/>
              <w:rPr>
                <w:rFonts w:ascii="Arial" w:hAnsi="Arial" w:cs="Arial"/>
                <w:sz w:val="24"/>
                <w:lang w:eastAsia="en-US"/>
              </w:rPr>
            </w:pPr>
            <w:r>
              <w:rPr>
                <w:rFonts w:ascii="Arial" w:hAnsi="Arial" w:cs="Arial"/>
                <w:sz w:val="24"/>
                <w:lang w:eastAsia="en-US"/>
              </w:rPr>
              <w:t>2.1.2</w:t>
            </w:r>
          </w:p>
        </w:tc>
        <w:tc>
          <w:tcPr>
            <w:tcW w:w="1134" w:type="dxa"/>
            <w:gridSpan w:val="4"/>
            <w:shd w:val="clear" w:color="auto" w:fill="FFFFFF"/>
            <w:noWrap w:val="0"/>
            <w:vAlign w:val="center"/>
          </w:tcPr>
          <w:p>
            <w:pPr>
              <w:spacing w:line="276" w:lineRule="auto"/>
              <w:jc w:val="center"/>
              <w:rPr>
                <w:rFonts w:ascii="Arial" w:hAnsi="Arial" w:cs="Arial"/>
                <w:sz w:val="24"/>
                <w:lang w:eastAsia="en-US"/>
              </w:rPr>
            </w:pPr>
            <w:r>
              <w:rPr>
                <w:rFonts w:ascii="Arial" w:hAnsi="Arial" w:cs="Arial"/>
                <w:sz w:val="24"/>
                <w:lang w:eastAsia="en-US"/>
              </w:rPr>
              <w:t>资格评审标准</w:t>
            </w:r>
          </w:p>
        </w:tc>
        <w:tc>
          <w:tcPr>
            <w:tcW w:w="7184" w:type="dxa"/>
            <w:gridSpan w:val="3"/>
            <w:shd w:val="clear" w:color="auto" w:fill="FFFFFF"/>
            <w:noWrap w:val="0"/>
            <w:vAlign w:val="center"/>
          </w:tcPr>
          <w:p>
            <w:pPr>
              <w:spacing w:line="276" w:lineRule="auto"/>
              <w:rPr>
                <w:rFonts w:ascii="Arial" w:hAnsi="Arial" w:cs="Arial"/>
                <w:sz w:val="24"/>
              </w:rPr>
            </w:pPr>
            <w:r>
              <w:rPr>
                <w:rFonts w:ascii="Arial" w:hAnsi="Arial" w:cs="Arial"/>
                <w:sz w:val="24"/>
              </w:rPr>
              <w:t>1、满足《中华人民共和国政府采购法》第二十二条规定；</w:t>
            </w:r>
          </w:p>
          <w:p>
            <w:pPr>
              <w:spacing w:line="276" w:lineRule="auto"/>
              <w:rPr>
                <w:rFonts w:ascii="Arial" w:hAnsi="Arial" w:cs="Arial"/>
                <w:sz w:val="24"/>
              </w:rPr>
            </w:pPr>
            <w:r>
              <w:rPr>
                <w:rFonts w:ascii="Arial" w:hAnsi="Arial" w:cs="Arial"/>
                <w:sz w:val="24"/>
              </w:rPr>
              <w:t>2、具有加载“统一社会信用代码”的营业执照；</w:t>
            </w:r>
          </w:p>
          <w:p>
            <w:pPr>
              <w:spacing w:line="276" w:lineRule="auto"/>
              <w:rPr>
                <w:rFonts w:hint="eastAsia" w:ascii="Arial" w:hAnsi="Arial" w:cs="Arial"/>
                <w:sz w:val="24"/>
              </w:rPr>
            </w:pPr>
            <w:r>
              <w:rPr>
                <w:rFonts w:hint="eastAsia" w:ascii="Arial" w:hAnsi="Arial" w:cs="Arial"/>
                <w:sz w:val="24"/>
              </w:rPr>
              <w:t>3</w:t>
            </w:r>
            <w:r>
              <w:rPr>
                <w:rFonts w:ascii="Arial" w:hAnsi="Arial" w:cs="Arial"/>
                <w:sz w:val="24"/>
              </w:rPr>
              <w:t>、</w:t>
            </w:r>
            <w:r>
              <w:rPr>
                <w:rFonts w:hint="eastAsia" w:ascii="Arial" w:hAnsi="Arial" w:cs="Arial"/>
                <w:sz w:val="24"/>
              </w:rPr>
              <w:t>财务要求：具有良好的商业信誉和健全的财务会计制度，近一年（202</w:t>
            </w:r>
            <w:r>
              <w:rPr>
                <w:rFonts w:hint="eastAsia" w:ascii="Arial" w:hAnsi="Arial" w:cs="Arial"/>
                <w:sz w:val="24"/>
                <w:lang w:val="en-US" w:eastAsia="zh-CN"/>
              </w:rPr>
              <w:t>2</w:t>
            </w:r>
            <w:r>
              <w:rPr>
                <w:rFonts w:hint="eastAsia" w:ascii="Arial" w:hAnsi="Arial" w:cs="Arial"/>
                <w:sz w:val="24"/>
              </w:rPr>
              <w:t>年或202</w:t>
            </w:r>
            <w:r>
              <w:rPr>
                <w:rFonts w:hint="eastAsia" w:ascii="Arial" w:hAnsi="Arial" w:cs="Arial"/>
                <w:sz w:val="24"/>
                <w:lang w:val="en-US" w:eastAsia="zh-CN"/>
              </w:rPr>
              <w:t>3</w:t>
            </w:r>
            <w:r>
              <w:rPr>
                <w:rFonts w:hint="eastAsia" w:ascii="Arial" w:hAnsi="Arial" w:cs="Arial"/>
                <w:sz w:val="24"/>
              </w:rPr>
              <w:t>年）财务状况良好，没有处于财产被接管，破产或其它关、停、并、转状态。提供审计报告或近一年的提供银行资信证明。；</w:t>
            </w:r>
          </w:p>
          <w:p>
            <w:pPr>
              <w:spacing w:line="276" w:lineRule="auto"/>
              <w:rPr>
                <w:rFonts w:ascii="Arial" w:hAnsi="Arial" w:cs="Arial"/>
                <w:sz w:val="24"/>
              </w:rPr>
            </w:pPr>
            <w:r>
              <w:rPr>
                <w:rFonts w:hint="eastAsia" w:ascii="Arial" w:hAnsi="Arial" w:cs="Arial"/>
                <w:sz w:val="24"/>
              </w:rPr>
              <w:t>4、</w:t>
            </w:r>
            <w:r>
              <w:rPr>
                <w:rFonts w:ascii="Arial" w:hAnsi="Arial" w:cs="Arial"/>
                <w:sz w:val="24"/>
              </w:rPr>
              <w:t>投标人须在投标响应文件中提供</w:t>
            </w:r>
            <w:r>
              <w:rPr>
                <w:rFonts w:hint="eastAsia" w:ascii="Arial" w:hAnsi="Arial" w:cs="Arial"/>
                <w:sz w:val="24"/>
              </w:rPr>
              <w:t>“信用中国”网站(www.creditchina.gov.cn)、“中国政府采购网”（www.ccgp.gov.cn）、“国家企业信用信息公示系统” （www.gsxt.gov.cn</w:t>
            </w:r>
            <w:r>
              <w:rPr>
                <w:rFonts w:ascii="Arial" w:hAnsi="Arial" w:cs="Arial"/>
                <w:sz w:val="24"/>
              </w:rPr>
              <w:t>）的信用记录截图,截图时间应当在本项目招标公告发布之日至提交投标响应文件截止时间。被列入严重违法失信企业名单的投标人，拒绝其参与招标活动；</w:t>
            </w:r>
          </w:p>
          <w:p>
            <w:pPr>
              <w:spacing w:line="276" w:lineRule="auto"/>
              <w:rPr>
                <w:rFonts w:hint="eastAsia" w:ascii="Arial" w:hAnsi="Arial" w:cs="Arial"/>
                <w:color w:val="FF0000"/>
                <w:sz w:val="24"/>
              </w:rPr>
            </w:pPr>
            <w:r>
              <w:rPr>
                <w:rFonts w:hint="eastAsia" w:ascii="Arial" w:hAnsi="Arial" w:cs="Arial"/>
                <w:sz w:val="24"/>
                <w:lang w:val="en-US" w:eastAsia="zh-CN"/>
              </w:rPr>
              <w:t>5</w:t>
            </w:r>
            <w:r>
              <w:rPr>
                <w:rFonts w:ascii="Arial" w:hAnsi="Arial" w:cs="Arial"/>
                <w:sz w:val="24"/>
              </w:rPr>
              <w:t>、本项目不接受联合体投标，不得分包与转包，报价人不得只对本招标内容内的单一标的进行报价。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440" w:type="dxa"/>
            <w:gridSpan w:val="3"/>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条款号</w:t>
            </w:r>
          </w:p>
        </w:tc>
        <w:tc>
          <w:tcPr>
            <w:tcW w:w="1559" w:type="dxa"/>
            <w:gridSpan w:val="3"/>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条款内容</w:t>
            </w:r>
          </w:p>
        </w:tc>
        <w:tc>
          <w:tcPr>
            <w:tcW w:w="6192" w:type="dxa"/>
            <w:gridSpan w:val="2"/>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440" w:type="dxa"/>
            <w:gridSpan w:val="3"/>
            <w:noWrap w:val="0"/>
            <w:vAlign w:val="center"/>
          </w:tcPr>
          <w:p>
            <w:pPr>
              <w:spacing w:line="276" w:lineRule="auto"/>
              <w:jc w:val="center"/>
              <w:rPr>
                <w:rFonts w:ascii="Arial" w:hAnsi="Arial" w:cs="Arial"/>
                <w:sz w:val="24"/>
                <w:lang w:eastAsia="en-US"/>
              </w:rPr>
            </w:pPr>
            <w:r>
              <w:rPr>
                <w:rFonts w:ascii="Arial" w:hAnsi="Arial" w:cs="Arial"/>
                <w:sz w:val="24"/>
                <w:lang w:eastAsia="en-US"/>
              </w:rPr>
              <w:t>2.2.1</w:t>
            </w:r>
          </w:p>
        </w:tc>
        <w:tc>
          <w:tcPr>
            <w:tcW w:w="1559" w:type="dxa"/>
            <w:gridSpan w:val="3"/>
            <w:noWrap w:val="0"/>
            <w:vAlign w:val="center"/>
          </w:tcPr>
          <w:p>
            <w:pPr>
              <w:spacing w:line="276" w:lineRule="auto"/>
              <w:jc w:val="center"/>
              <w:rPr>
                <w:rFonts w:ascii="Arial" w:hAnsi="Arial" w:cs="Arial"/>
                <w:sz w:val="24"/>
                <w:lang w:eastAsia="en-US"/>
              </w:rPr>
            </w:pPr>
            <w:r>
              <w:rPr>
                <w:rFonts w:ascii="Arial" w:hAnsi="Arial" w:cs="Arial"/>
                <w:sz w:val="24"/>
                <w:lang w:eastAsia="en-US"/>
              </w:rPr>
              <w:t>分值构成</w:t>
            </w:r>
          </w:p>
          <w:p>
            <w:pPr>
              <w:spacing w:line="276" w:lineRule="auto"/>
              <w:jc w:val="center"/>
              <w:rPr>
                <w:rFonts w:ascii="Arial" w:hAnsi="Arial" w:cs="Arial"/>
                <w:b/>
                <w:bCs/>
                <w:sz w:val="24"/>
                <w:lang w:eastAsia="en-US"/>
              </w:rPr>
            </w:pPr>
            <w:r>
              <w:rPr>
                <w:rFonts w:ascii="Arial" w:hAnsi="Arial" w:cs="Arial"/>
                <w:b/>
                <w:bCs/>
                <w:sz w:val="24"/>
                <w:lang w:eastAsia="en-US"/>
              </w:rPr>
              <w:t>(总分</w:t>
            </w:r>
            <w:r>
              <w:rPr>
                <w:rFonts w:ascii="Arial" w:hAnsi="Arial" w:cs="Arial"/>
                <w:b/>
                <w:bCs/>
                <w:sz w:val="24"/>
                <w:u w:val="single"/>
                <w:lang w:eastAsia="en-US"/>
              </w:rPr>
              <w:t>100</w:t>
            </w:r>
            <w:r>
              <w:rPr>
                <w:rFonts w:ascii="Arial" w:hAnsi="Arial" w:cs="Arial"/>
                <w:b/>
                <w:bCs/>
                <w:sz w:val="24"/>
                <w:lang w:eastAsia="en-US"/>
              </w:rPr>
              <w:t>分)</w:t>
            </w:r>
          </w:p>
        </w:tc>
        <w:tc>
          <w:tcPr>
            <w:tcW w:w="6192" w:type="dxa"/>
            <w:gridSpan w:val="2"/>
            <w:noWrap w:val="0"/>
            <w:vAlign w:val="center"/>
          </w:tcPr>
          <w:p>
            <w:pPr>
              <w:spacing w:line="276" w:lineRule="auto"/>
              <w:jc w:val="center"/>
              <w:rPr>
                <w:rFonts w:ascii="Arial" w:hAnsi="Arial" w:cs="Arial"/>
                <w:sz w:val="24"/>
              </w:rPr>
            </w:pPr>
            <w:r>
              <w:rPr>
                <w:rFonts w:ascii="Arial" w:hAnsi="Arial" w:cs="Arial"/>
                <w:sz w:val="24"/>
              </w:rPr>
              <w:t>商务部分：</w:t>
            </w:r>
            <w:r>
              <w:rPr>
                <w:rFonts w:hint="eastAsia" w:ascii="Arial" w:hAnsi="Arial" w:cs="Arial"/>
                <w:b/>
                <w:bCs/>
                <w:sz w:val="24"/>
                <w:u w:val="single"/>
              </w:rPr>
              <w:t>20</w:t>
            </w:r>
            <w:r>
              <w:rPr>
                <w:rFonts w:ascii="Arial" w:hAnsi="Arial" w:cs="Arial"/>
                <w:sz w:val="24"/>
              </w:rPr>
              <w:t>分</w:t>
            </w:r>
          </w:p>
          <w:p>
            <w:pPr>
              <w:spacing w:line="276" w:lineRule="auto"/>
              <w:jc w:val="center"/>
              <w:rPr>
                <w:rFonts w:ascii="Arial" w:hAnsi="Arial" w:cs="Arial"/>
                <w:sz w:val="24"/>
              </w:rPr>
            </w:pPr>
            <w:r>
              <w:rPr>
                <w:rFonts w:ascii="Arial" w:hAnsi="Arial" w:cs="Arial"/>
                <w:sz w:val="24"/>
              </w:rPr>
              <w:t>技术部分：</w:t>
            </w:r>
            <w:r>
              <w:rPr>
                <w:rFonts w:hint="eastAsia" w:ascii="Arial" w:hAnsi="Arial" w:cs="Arial"/>
                <w:b/>
                <w:bCs/>
                <w:sz w:val="24"/>
                <w:u w:val="single"/>
              </w:rPr>
              <w:t>50</w:t>
            </w:r>
            <w:r>
              <w:rPr>
                <w:rFonts w:ascii="Arial" w:hAnsi="Arial" w:cs="Arial"/>
                <w:sz w:val="24"/>
              </w:rPr>
              <w:t>分</w:t>
            </w:r>
          </w:p>
          <w:p>
            <w:pPr>
              <w:spacing w:line="276" w:lineRule="auto"/>
              <w:jc w:val="center"/>
              <w:rPr>
                <w:rFonts w:ascii="Arial" w:hAnsi="Arial" w:cs="Arial"/>
                <w:sz w:val="24"/>
              </w:rPr>
            </w:pPr>
            <w:r>
              <w:rPr>
                <w:rFonts w:ascii="Arial" w:hAnsi="Arial" w:cs="Arial"/>
                <w:sz w:val="24"/>
              </w:rPr>
              <w:t>价格部分：</w:t>
            </w:r>
            <w:r>
              <w:rPr>
                <w:rFonts w:hint="eastAsia" w:ascii="Arial" w:hAnsi="Arial" w:cs="Arial"/>
                <w:b/>
                <w:bCs/>
                <w:sz w:val="24"/>
                <w:u w:val="single"/>
              </w:rPr>
              <w:t>30</w:t>
            </w:r>
            <w:r>
              <w:rPr>
                <w:rFonts w:ascii="Arial" w:hAnsi="Arial" w:cs="Arial"/>
                <w:sz w:val="24"/>
              </w:rPr>
              <w:t>分</w:t>
            </w:r>
          </w:p>
          <w:p>
            <w:pPr>
              <w:spacing w:line="276" w:lineRule="auto"/>
              <w:jc w:val="left"/>
              <w:rPr>
                <w:rFonts w:ascii="Arial" w:hAnsi="Arial" w:cs="Arial"/>
                <w:sz w:val="24"/>
              </w:rPr>
            </w:pPr>
            <w:r>
              <w:rPr>
                <w:rFonts w:hint="eastAsia" w:ascii="Arial" w:hAnsi="Arial" w:cs="Arial"/>
                <w:sz w:val="24"/>
              </w:rPr>
              <w:t>注：货物项目的价格分值占总分值的比重</w:t>
            </w:r>
            <w:r>
              <w:rPr>
                <w:rFonts w:ascii="Arial" w:hAnsi="Arial" w:cs="Arial"/>
                <w:sz w:val="24"/>
              </w:rPr>
              <w:t>(即权值) 30</w:t>
            </w:r>
            <w:r>
              <w:rPr>
                <w:rFonts w:hint="eastAsia" w:ascii="Arial" w:hAnsi="Arial" w:cs="Arial"/>
                <w:sz w:val="24"/>
              </w:rPr>
              <w:t>~</w:t>
            </w:r>
            <w:r>
              <w:rPr>
                <w:rFonts w:ascii="Arial" w:hAnsi="Arial" w:cs="Arial"/>
                <w:sz w:val="24"/>
              </w:rPr>
              <w:t>60％，服务项目的价格分值占总分值的比重(即权值) 10％</w:t>
            </w:r>
            <w:r>
              <w:rPr>
                <w:rFonts w:hint="eastAsia" w:ascii="Arial" w:hAnsi="Arial" w:cs="Arial"/>
                <w:sz w:val="24"/>
              </w:rPr>
              <w:t>~</w:t>
            </w:r>
            <w:r>
              <w:rPr>
                <w:rFonts w:ascii="Arial" w:hAnsi="Arial" w:cs="Arial"/>
                <w:sz w:val="24"/>
              </w:rPr>
              <w:t>30％</w:t>
            </w:r>
            <w:r>
              <w:rPr>
                <w:rFonts w:hint="eastAsia" w:ascii="Arial" w:hAnsi="Arial" w:cs="Arial"/>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440" w:type="dxa"/>
            <w:gridSpan w:val="3"/>
            <w:noWrap w:val="0"/>
            <w:vAlign w:val="center"/>
          </w:tcPr>
          <w:p>
            <w:pPr>
              <w:spacing w:line="276" w:lineRule="auto"/>
              <w:jc w:val="center"/>
              <w:rPr>
                <w:rFonts w:ascii="Arial" w:hAnsi="Arial" w:cs="Arial"/>
                <w:sz w:val="24"/>
                <w:lang w:eastAsia="en-US"/>
              </w:rPr>
            </w:pPr>
            <w:r>
              <w:rPr>
                <w:rFonts w:ascii="Arial" w:hAnsi="Arial" w:cs="Arial"/>
                <w:sz w:val="24"/>
                <w:lang w:eastAsia="en-US"/>
              </w:rPr>
              <w:t>2.2.2</w:t>
            </w:r>
          </w:p>
        </w:tc>
        <w:tc>
          <w:tcPr>
            <w:tcW w:w="1559" w:type="dxa"/>
            <w:gridSpan w:val="3"/>
            <w:noWrap w:val="0"/>
            <w:vAlign w:val="center"/>
          </w:tcPr>
          <w:p>
            <w:pPr>
              <w:spacing w:line="276" w:lineRule="auto"/>
              <w:jc w:val="center"/>
              <w:rPr>
                <w:rFonts w:ascii="Arial" w:hAnsi="Arial" w:cs="Arial"/>
                <w:sz w:val="24"/>
                <w:lang w:eastAsia="en-US"/>
              </w:rPr>
            </w:pPr>
            <w:r>
              <w:rPr>
                <w:rFonts w:ascii="Arial" w:hAnsi="Arial" w:cs="Arial"/>
                <w:sz w:val="24"/>
                <w:lang w:eastAsia="en-US"/>
              </w:rPr>
              <w:t>评标基准价</w:t>
            </w:r>
          </w:p>
          <w:p>
            <w:pPr>
              <w:spacing w:line="276" w:lineRule="auto"/>
              <w:jc w:val="center"/>
              <w:rPr>
                <w:rFonts w:ascii="Arial" w:hAnsi="Arial" w:cs="Arial"/>
                <w:sz w:val="24"/>
                <w:lang w:eastAsia="en-US"/>
              </w:rPr>
            </w:pPr>
            <w:r>
              <w:rPr>
                <w:rFonts w:ascii="Arial" w:hAnsi="Arial" w:cs="Arial"/>
                <w:sz w:val="24"/>
                <w:lang w:eastAsia="en-US"/>
              </w:rPr>
              <w:t>计算方法</w:t>
            </w:r>
          </w:p>
        </w:tc>
        <w:tc>
          <w:tcPr>
            <w:tcW w:w="6192" w:type="dxa"/>
            <w:gridSpan w:val="2"/>
            <w:noWrap w:val="0"/>
            <w:vAlign w:val="center"/>
          </w:tcPr>
          <w:p>
            <w:pPr>
              <w:spacing w:line="276" w:lineRule="auto"/>
              <w:rPr>
                <w:rFonts w:ascii="Arial" w:hAnsi="Arial" w:cs="Arial"/>
                <w:kern w:val="0"/>
                <w:sz w:val="24"/>
              </w:rPr>
            </w:pPr>
            <w:r>
              <w:rPr>
                <w:rFonts w:ascii="Arial" w:hAnsi="Arial" w:cs="Arial"/>
                <w:kern w:val="0"/>
                <w:sz w:val="24"/>
              </w:rPr>
              <w:t>1.评标价的确定：评标价= “</w:t>
            </w:r>
            <w:r>
              <w:rPr>
                <w:rFonts w:ascii="Arial" w:hAnsi="Arial" w:cs="Arial"/>
                <w:sz w:val="24"/>
              </w:rPr>
              <w:t>报价一览表</w:t>
            </w:r>
            <w:r>
              <w:rPr>
                <w:rFonts w:ascii="Arial" w:hAnsi="Arial" w:cs="Arial"/>
                <w:kern w:val="0"/>
                <w:sz w:val="24"/>
              </w:rPr>
              <w:t>”中报价</w:t>
            </w:r>
          </w:p>
          <w:p>
            <w:pPr>
              <w:spacing w:line="276" w:lineRule="auto"/>
              <w:rPr>
                <w:rFonts w:ascii="Arial" w:hAnsi="Arial" w:cs="Arial"/>
                <w:sz w:val="24"/>
              </w:rPr>
            </w:pPr>
            <w:r>
              <w:rPr>
                <w:rFonts w:ascii="Arial" w:hAnsi="Arial" w:cs="Arial"/>
                <w:sz w:val="24"/>
              </w:rPr>
              <w:t>2.评标基准价的确定：满足招标（采购）文件要求且投标价格最低的投标报价为评标基准价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887" w:type="dxa"/>
            <w:gridSpan w:val="4"/>
            <w:noWrap w:val="0"/>
            <w:vAlign w:val="center"/>
          </w:tcPr>
          <w:p>
            <w:pPr>
              <w:spacing w:line="320" w:lineRule="exact"/>
              <w:jc w:val="center"/>
              <w:rPr>
                <w:rFonts w:ascii="Arial" w:hAnsi="Arial" w:cs="Arial"/>
                <w:sz w:val="24"/>
              </w:rPr>
            </w:pPr>
            <w:r>
              <w:rPr>
                <w:rFonts w:ascii="Arial" w:hAnsi="Arial" w:cs="Arial"/>
                <w:b/>
                <w:sz w:val="24"/>
                <w:lang w:eastAsia="en-US"/>
              </w:rPr>
              <w:t>条款号</w:t>
            </w:r>
          </w:p>
        </w:tc>
        <w:tc>
          <w:tcPr>
            <w:tcW w:w="1425" w:type="dxa"/>
            <w:gridSpan w:val="3"/>
            <w:noWrap w:val="0"/>
            <w:vAlign w:val="center"/>
          </w:tcPr>
          <w:p>
            <w:pPr>
              <w:spacing w:line="320" w:lineRule="exact"/>
              <w:jc w:val="center"/>
              <w:rPr>
                <w:rFonts w:ascii="Arial" w:hAnsi="Arial" w:cs="Arial"/>
                <w:sz w:val="24"/>
              </w:rPr>
            </w:pPr>
            <w:r>
              <w:rPr>
                <w:rFonts w:ascii="Arial" w:hAnsi="Arial" w:cs="Arial"/>
                <w:b/>
                <w:sz w:val="24"/>
                <w:lang w:eastAsia="en-US"/>
              </w:rPr>
              <w:t>评分因素</w:t>
            </w:r>
          </w:p>
        </w:tc>
        <w:tc>
          <w:tcPr>
            <w:tcW w:w="5879" w:type="dxa"/>
            <w:noWrap w:val="0"/>
            <w:vAlign w:val="center"/>
          </w:tcPr>
          <w:p>
            <w:pPr>
              <w:spacing w:line="320" w:lineRule="exact"/>
              <w:jc w:val="center"/>
              <w:rPr>
                <w:rFonts w:ascii="Arial" w:hAnsi="Arial" w:cs="Arial"/>
                <w:sz w:val="24"/>
              </w:rPr>
            </w:pPr>
            <w:r>
              <w:rPr>
                <w:rFonts w:ascii="Arial" w:hAnsi="Arial" w:cs="Arial"/>
                <w:b/>
                <w:sz w:val="24"/>
                <w:lang w:eastAsia="en-US"/>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gridSpan w:val="2"/>
            <w:vMerge w:val="restart"/>
            <w:shd w:val="clear" w:color="auto" w:fill="FFFFFF"/>
            <w:noWrap w:val="0"/>
            <w:vAlign w:val="center"/>
          </w:tcPr>
          <w:p>
            <w:pPr>
              <w:spacing w:line="276" w:lineRule="auto"/>
              <w:rPr>
                <w:rFonts w:ascii="Arial" w:hAnsi="Arial" w:cs="Arial"/>
                <w:sz w:val="24"/>
                <w:lang w:eastAsia="en-US"/>
              </w:rPr>
            </w:pPr>
            <w:r>
              <w:rPr>
                <w:rFonts w:ascii="Arial" w:hAnsi="Arial" w:cs="Arial"/>
                <w:sz w:val="24"/>
                <w:lang w:eastAsia="en-US"/>
              </w:rPr>
              <w:t>2.2.4</w:t>
            </w:r>
          </w:p>
          <w:p>
            <w:pPr>
              <w:spacing w:line="276" w:lineRule="auto"/>
              <w:rPr>
                <w:rFonts w:ascii="Arial" w:hAnsi="Arial" w:cs="Arial"/>
                <w:sz w:val="24"/>
              </w:rPr>
            </w:pPr>
            <w:r>
              <w:rPr>
                <w:rFonts w:ascii="Arial" w:hAnsi="Arial" w:cs="Arial"/>
                <w:sz w:val="24"/>
                <w:lang w:eastAsia="en-US"/>
              </w:rPr>
              <w:t>（1）</w:t>
            </w:r>
          </w:p>
        </w:tc>
        <w:tc>
          <w:tcPr>
            <w:tcW w:w="997" w:type="dxa"/>
            <w:gridSpan w:val="2"/>
            <w:vMerge w:val="restart"/>
            <w:shd w:val="clear" w:color="auto" w:fill="FFFFFF"/>
            <w:noWrap w:val="0"/>
            <w:vAlign w:val="center"/>
          </w:tcPr>
          <w:p>
            <w:pPr>
              <w:spacing w:line="276" w:lineRule="auto"/>
              <w:rPr>
                <w:rFonts w:ascii="Arial" w:hAnsi="Arial" w:cs="Arial"/>
                <w:sz w:val="24"/>
                <w:lang w:eastAsia="en-US"/>
              </w:rPr>
            </w:pPr>
            <w:r>
              <w:rPr>
                <w:rFonts w:ascii="Arial" w:hAnsi="Arial" w:cs="Arial"/>
                <w:sz w:val="24"/>
                <w:lang w:eastAsia="en-US"/>
              </w:rPr>
              <w:t>商务评分</w:t>
            </w:r>
          </w:p>
          <w:p>
            <w:pPr>
              <w:spacing w:line="276" w:lineRule="auto"/>
              <w:rPr>
                <w:rFonts w:ascii="Arial" w:hAnsi="Arial" w:cs="Arial"/>
                <w:sz w:val="24"/>
                <w:lang w:eastAsia="en-US"/>
              </w:rPr>
            </w:pPr>
            <w:r>
              <w:rPr>
                <w:rFonts w:ascii="Arial" w:hAnsi="Arial" w:cs="Arial"/>
                <w:sz w:val="24"/>
                <w:lang w:eastAsia="en-US"/>
              </w:rPr>
              <w:t>标准</w:t>
            </w:r>
          </w:p>
          <w:p>
            <w:pPr>
              <w:spacing w:line="276" w:lineRule="auto"/>
              <w:rPr>
                <w:rFonts w:ascii="Arial" w:hAnsi="Arial" w:cs="Arial"/>
                <w:sz w:val="24"/>
              </w:rPr>
            </w:pPr>
            <w:r>
              <w:rPr>
                <w:rFonts w:hint="eastAsia" w:ascii="Arial" w:hAnsi="Arial" w:cs="Arial"/>
                <w:sz w:val="24"/>
              </w:rPr>
              <w:t>（20分）</w:t>
            </w:r>
          </w:p>
        </w:tc>
        <w:tc>
          <w:tcPr>
            <w:tcW w:w="1425" w:type="dxa"/>
            <w:gridSpan w:val="3"/>
            <w:shd w:val="clear" w:color="auto" w:fill="FFFFFF"/>
            <w:noWrap w:val="0"/>
            <w:vAlign w:val="center"/>
          </w:tcPr>
          <w:p>
            <w:pPr>
              <w:spacing w:line="276" w:lineRule="auto"/>
              <w:rPr>
                <w:rFonts w:ascii="Arial" w:hAnsi="Arial" w:cs="Arial"/>
                <w:sz w:val="24"/>
              </w:rPr>
            </w:pPr>
            <w:r>
              <w:rPr>
                <w:rFonts w:hint="eastAsia" w:ascii="Arial" w:hAnsi="Arial" w:cs="Arial"/>
                <w:sz w:val="24"/>
              </w:rPr>
              <w:t>同类供货业绩（10分）</w:t>
            </w:r>
          </w:p>
        </w:tc>
        <w:tc>
          <w:tcPr>
            <w:tcW w:w="5879" w:type="dxa"/>
            <w:shd w:val="clear" w:color="auto" w:fill="FFFFFF"/>
            <w:noWrap w:val="0"/>
            <w:vAlign w:val="center"/>
          </w:tcPr>
          <w:p>
            <w:pPr>
              <w:spacing w:line="276" w:lineRule="auto"/>
              <w:rPr>
                <w:rFonts w:ascii="Arial" w:hAnsi="Arial" w:cs="Arial"/>
                <w:sz w:val="24"/>
              </w:rPr>
            </w:pPr>
            <w:r>
              <w:rPr>
                <w:rFonts w:hint="eastAsia" w:ascii="Arial" w:hAnsi="Arial" w:cs="Arial"/>
                <w:sz w:val="24"/>
              </w:rPr>
              <w:t>有同类供货业绩，每提供一份业绩得2分，最高得10分。（合同复印件附于投标文件）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gridSpan w:val="2"/>
            <w:vMerge w:val="continue"/>
            <w:shd w:val="clear" w:color="auto" w:fill="FFFFFF"/>
            <w:noWrap w:val="0"/>
            <w:vAlign w:val="center"/>
          </w:tcPr>
          <w:p>
            <w:pPr>
              <w:spacing w:line="276" w:lineRule="auto"/>
              <w:rPr>
                <w:rFonts w:ascii="Arial" w:hAnsi="Arial" w:cs="Arial"/>
                <w:sz w:val="24"/>
              </w:rPr>
            </w:pPr>
          </w:p>
        </w:tc>
        <w:tc>
          <w:tcPr>
            <w:tcW w:w="997" w:type="dxa"/>
            <w:gridSpan w:val="2"/>
            <w:vMerge w:val="continue"/>
            <w:shd w:val="clear" w:color="auto" w:fill="FFFFFF"/>
            <w:noWrap w:val="0"/>
            <w:vAlign w:val="center"/>
          </w:tcPr>
          <w:p>
            <w:pPr>
              <w:spacing w:line="276" w:lineRule="auto"/>
              <w:rPr>
                <w:rFonts w:ascii="Arial" w:hAnsi="Arial" w:cs="Arial"/>
                <w:sz w:val="24"/>
              </w:rPr>
            </w:pPr>
          </w:p>
        </w:tc>
        <w:tc>
          <w:tcPr>
            <w:tcW w:w="1425" w:type="dxa"/>
            <w:gridSpan w:val="3"/>
            <w:shd w:val="clear" w:color="auto" w:fill="FFFFFF"/>
            <w:noWrap w:val="0"/>
            <w:vAlign w:val="center"/>
          </w:tcPr>
          <w:p>
            <w:pPr>
              <w:spacing w:line="276" w:lineRule="auto"/>
              <w:rPr>
                <w:rFonts w:ascii="Arial" w:hAnsi="Arial" w:cs="Arial"/>
                <w:sz w:val="24"/>
              </w:rPr>
            </w:pPr>
            <w:r>
              <w:rPr>
                <w:rFonts w:hint="eastAsia" w:ascii="Arial" w:hAnsi="Arial" w:cs="Arial"/>
                <w:sz w:val="24"/>
              </w:rPr>
              <w:t>服务人员配备（</w:t>
            </w:r>
            <w:r>
              <w:rPr>
                <w:rFonts w:hint="eastAsia" w:ascii="Arial" w:hAnsi="Arial" w:cs="Arial"/>
                <w:sz w:val="24"/>
                <w:lang w:val="en-US" w:eastAsia="zh-CN"/>
              </w:rPr>
              <w:t>10</w:t>
            </w:r>
            <w:r>
              <w:rPr>
                <w:rFonts w:hint="eastAsia" w:ascii="Arial" w:hAnsi="Arial" w:cs="Arial"/>
                <w:sz w:val="24"/>
              </w:rPr>
              <w:t>分）</w:t>
            </w:r>
          </w:p>
        </w:tc>
        <w:tc>
          <w:tcPr>
            <w:tcW w:w="5879" w:type="dxa"/>
            <w:shd w:val="clear" w:color="auto" w:fill="FFFFFF"/>
            <w:noWrap w:val="0"/>
            <w:vAlign w:val="center"/>
          </w:tcPr>
          <w:p>
            <w:pPr>
              <w:spacing w:line="276" w:lineRule="auto"/>
              <w:rPr>
                <w:rFonts w:ascii="Arial" w:hAnsi="Arial" w:cs="Arial"/>
                <w:sz w:val="24"/>
              </w:rPr>
            </w:pPr>
            <w:r>
              <w:rPr>
                <w:rFonts w:hint="eastAsia" w:ascii="Arial" w:hAnsi="Arial" w:cs="Arial"/>
                <w:sz w:val="24"/>
              </w:rPr>
              <w:t>投标文件对采购人的业务有固定的负责人的得</w:t>
            </w:r>
            <w:r>
              <w:rPr>
                <w:rFonts w:hint="eastAsia" w:ascii="Arial" w:hAnsi="Arial" w:cs="Arial"/>
                <w:sz w:val="24"/>
                <w:lang w:val="en-US" w:eastAsia="zh-CN"/>
              </w:rPr>
              <w:t>4</w:t>
            </w:r>
            <w:r>
              <w:rPr>
                <w:rFonts w:hint="eastAsia" w:ascii="Arial" w:hAnsi="Arial" w:cs="Arial"/>
                <w:sz w:val="24"/>
              </w:rPr>
              <w:t>分，同时配备业务小组的，每有1人得</w:t>
            </w:r>
            <w:r>
              <w:rPr>
                <w:rFonts w:hint="eastAsia" w:ascii="Arial" w:hAnsi="Arial" w:cs="Arial"/>
                <w:sz w:val="24"/>
                <w:lang w:val="en-US" w:eastAsia="zh-CN"/>
              </w:rPr>
              <w:t>2</w:t>
            </w:r>
            <w:r>
              <w:rPr>
                <w:rFonts w:hint="eastAsia" w:ascii="Arial" w:hAnsi="Arial" w:cs="Arial"/>
                <w:sz w:val="24"/>
              </w:rPr>
              <w:t>分，最高得</w:t>
            </w:r>
            <w:r>
              <w:rPr>
                <w:rFonts w:hint="eastAsia" w:ascii="Arial" w:hAnsi="Arial" w:cs="Arial"/>
                <w:sz w:val="24"/>
                <w:lang w:val="en-US" w:eastAsia="zh-CN"/>
              </w:rPr>
              <w:t>6</w:t>
            </w:r>
            <w:r>
              <w:rPr>
                <w:rFonts w:hint="eastAsia" w:ascii="Arial" w:hAnsi="Arial" w:cs="Arial"/>
                <w:sz w:val="24"/>
              </w:rPr>
              <w:t>分，本项最高得</w:t>
            </w:r>
            <w:r>
              <w:rPr>
                <w:rFonts w:hint="eastAsia" w:ascii="Arial" w:hAnsi="Arial" w:cs="Arial"/>
                <w:sz w:val="24"/>
                <w:lang w:val="en-US" w:eastAsia="zh-CN"/>
              </w:rPr>
              <w:t>10</w:t>
            </w:r>
            <w:r>
              <w:rPr>
                <w:rFonts w:hint="eastAsia" w:ascii="Arial" w:hAnsi="Arial" w:cs="Arial"/>
                <w:sz w:val="24"/>
              </w:rPr>
              <w:t>分。（提供负责人姓名、职务，业务小组人员名单。）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890" w:type="dxa"/>
            <w:gridSpan w:val="2"/>
            <w:vMerge w:val="restart"/>
            <w:noWrap w:val="0"/>
            <w:vAlign w:val="center"/>
          </w:tcPr>
          <w:p>
            <w:pPr>
              <w:spacing w:line="276" w:lineRule="auto"/>
              <w:rPr>
                <w:rFonts w:ascii="Arial" w:hAnsi="Arial" w:cs="Arial"/>
                <w:sz w:val="24"/>
                <w:lang w:eastAsia="en-US"/>
              </w:rPr>
            </w:pPr>
            <w:r>
              <w:rPr>
                <w:rFonts w:ascii="Arial" w:hAnsi="Arial" w:cs="Arial"/>
                <w:sz w:val="24"/>
                <w:lang w:eastAsia="en-US"/>
              </w:rPr>
              <w:t>2.2.4</w:t>
            </w:r>
          </w:p>
          <w:p>
            <w:pPr>
              <w:spacing w:line="276" w:lineRule="auto"/>
              <w:rPr>
                <w:rFonts w:ascii="Arial" w:hAnsi="Arial" w:cs="Arial"/>
                <w:sz w:val="24"/>
              </w:rPr>
            </w:pPr>
            <w:r>
              <w:rPr>
                <w:rFonts w:ascii="Arial" w:hAnsi="Arial" w:cs="Arial"/>
                <w:sz w:val="24"/>
                <w:lang w:eastAsia="en-US"/>
              </w:rPr>
              <w:t>（2）</w:t>
            </w:r>
          </w:p>
        </w:tc>
        <w:tc>
          <w:tcPr>
            <w:tcW w:w="997" w:type="dxa"/>
            <w:gridSpan w:val="2"/>
            <w:vMerge w:val="restart"/>
            <w:noWrap w:val="0"/>
            <w:vAlign w:val="center"/>
          </w:tcPr>
          <w:p>
            <w:pPr>
              <w:spacing w:line="276" w:lineRule="auto"/>
              <w:rPr>
                <w:rFonts w:ascii="Arial" w:hAnsi="Arial" w:cs="Arial"/>
                <w:sz w:val="24"/>
                <w:lang w:eastAsia="en-US"/>
              </w:rPr>
            </w:pPr>
            <w:r>
              <w:rPr>
                <w:rFonts w:ascii="Arial" w:hAnsi="Arial" w:cs="Arial"/>
                <w:sz w:val="24"/>
                <w:lang w:eastAsia="en-US"/>
              </w:rPr>
              <w:t>技术评分</w:t>
            </w:r>
          </w:p>
          <w:p>
            <w:pPr>
              <w:spacing w:line="276" w:lineRule="auto"/>
              <w:rPr>
                <w:rFonts w:ascii="Arial" w:hAnsi="Arial" w:cs="Arial"/>
                <w:sz w:val="24"/>
                <w:lang w:eastAsia="en-US"/>
              </w:rPr>
            </w:pPr>
            <w:r>
              <w:rPr>
                <w:rFonts w:ascii="Arial" w:hAnsi="Arial" w:cs="Arial"/>
                <w:sz w:val="24"/>
                <w:lang w:eastAsia="en-US"/>
              </w:rPr>
              <w:t>标准</w:t>
            </w:r>
          </w:p>
          <w:p>
            <w:pPr>
              <w:spacing w:line="276" w:lineRule="auto"/>
              <w:rPr>
                <w:rFonts w:ascii="Arial" w:hAnsi="Arial" w:cs="Arial"/>
                <w:sz w:val="24"/>
              </w:rPr>
            </w:pPr>
            <w:r>
              <w:rPr>
                <w:rFonts w:hint="eastAsia" w:ascii="Arial" w:hAnsi="Arial" w:cs="Arial"/>
                <w:sz w:val="24"/>
              </w:rPr>
              <w:t>（50分）</w:t>
            </w:r>
          </w:p>
        </w:tc>
        <w:tc>
          <w:tcPr>
            <w:tcW w:w="1425" w:type="dxa"/>
            <w:gridSpan w:val="3"/>
            <w:noWrap w:val="0"/>
            <w:vAlign w:val="center"/>
          </w:tcPr>
          <w:p>
            <w:pPr>
              <w:spacing w:line="276" w:lineRule="auto"/>
              <w:rPr>
                <w:rFonts w:ascii="Arial" w:hAnsi="Arial" w:cs="Arial"/>
                <w:sz w:val="24"/>
              </w:rPr>
            </w:pPr>
            <w:r>
              <w:rPr>
                <w:rFonts w:hint="eastAsia" w:ascii="Arial" w:hAnsi="Arial" w:cs="Arial"/>
                <w:sz w:val="24"/>
              </w:rPr>
              <w:t>供货方案合理性（</w:t>
            </w:r>
            <w:r>
              <w:rPr>
                <w:rFonts w:hint="eastAsia" w:ascii="Arial" w:hAnsi="Arial" w:cs="Arial"/>
                <w:sz w:val="24"/>
                <w:lang w:val="en-US" w:eastAsia="zh-CN"/>
              </w:rPr>
              <w:t>30</w:t>
            </w:r>
            <w:r>
              <w:rPr>
                <w:rFonts w:hint="eastAsia" w:ascii="Arial" w:hAnsi="Arial" w:cs="Arial"/>
                <w:sz w:val="24"/>
              </w:rPr>
              <w:t>分）</w:t>
            </w:r>
          </w:p>
        </w:tc>
        <w:tc>
          <w:tcPr>
            <w:tcW w:w="5879" w:type="dxa"/>
            <w:noWrap w:val="0"/>
            <w:vAlign w:val="center"/>
          </w:tcPr>
          <w:p>
            <w:pPr>
              <w:spacing w:line="276" w:lineRule="auto"/>
              <w:rPr>
                <w:rFonts w:hint="eastAsia" w:ascii="Arial" w:hAnsi="Arial" w:cs="Arial"/>
                <w:sz w:val="24"/>
              </w:rPr>
            </w:pPr>
            <w:r>
              <w:rPr>
                <w:rFonts w:hint="eastAsia" w:ascii="Arial" w:hAnsi="Arial" w:cs="Arial"/>
                <w:sz w:val="24"/>
              </w:rPr>
              <w:t>投标方案的采购全面合理、详细可行性强的（优得</w:t>
            </w:r>
            <w:r>
              <w:rPr>
                <w:rFonts w:hint="eastAsia" w:ascii="Arial" w:hAnsi="Arial" w:cs="Arial"/>
                <w:sz w:val="24"/>
                <w:lang w:val="en-US" w:eastAsia="zh-CN"/>
              </w:rPr>
              <w:t>30</w:t>
            </w:r>
            <w:r>
              <w:rPr>
                <w:rFonts w:hint="eastAsia" w:ascii="Arial" w:hAnsi="Arial" w:cs="Arial"/>
                <w:sz w:val="24"/>
              </w:rPr>
              <w:t>-</w:t>
            </w:r>
            <w:r>
              <w:rPr>
                <w:rFonts w:hint="eastAsia" w:ascii="Arial" w:hAnsi="Arial" w:cs="Arial"/>
                <w:sz w:val="24"/>
                <w:lang w:val="en-US" w:eastAsia="zh-CN"/>
              </w:rPr>
              <w:t>2</w:t>
            </w:r>
            <w:r>
              <w:rPr>
                <w:rFonts w:hint="eastAsia" w:ascii="Arial" w:hAnsi="Arial" w:cs="Arial"/>
                <w:sz w:val="24"/>
              </w:rPr>
              <w:t>0分、良得</w:t>
            </w:r>
            <w:r>
              <w:rPr>
                <w:rFonts w:hint="eastAsia" w:ascii="Arial" w:hAnsi="Arial" w:cs="Arial"/>
                <w:sz w:val="24"/>
                <w:lang w:val="en-US" w:eastAsia="zh-CN"/>
              </w:rPr>
              <w:t>2</w:t>
            </w:r>
            <w:r>
              <w:rPr>
                <w:rFonts w:hint="eastAsia" w:ascii="Arial" w:hAnsi="Arial" w:cs="Arial"/>
                <w:sz w:val="24"/>
              </w:rPr>
              <w:t>0-</w:t>
            </w:r>
            <w:r>
              <w:rPr>
                <w:rFonts w:hint="eastAsia" w:ascii="Arial" w:hAnsi="Arial" w:cs="Arial"/>
                <w:sz w:val="24"/>
                <w:lang w:val="en-US" w:eastAsia="zh-CN"/>
              </w:rPr>
              <w:t>10</w:t>
            </w:r>
            <w:r>
              <w:rPr>
                <w:rFonts w:hint="eastAsia" w:ascii="Arial" w:hAnsi="Arial" w:cs="Arial"/>
                <w:sz w:val="24"/>
              </w:rPr>
              <w:t>分、一般得</w:t>
            </w:r>
            <w:r>
              <w:rPr>
                <w:rFonts w:hint="eastAsia" w:ascii="Arial" w:hAnsi="Arial" w:cs="Arial"/>
                <w:sz w:val="24"/>
                <w:lang w:val="en-US" w:eastAsia="zh-CN"/>
              </w:rPr>
              <w:t>10</w:t>
            </w:r>
            <w:r>
              <w:rPr>
                <w:rFonts w:hint="eastAsia" w:ascii="Arial" w:hAnsi="Arial" w:cs="Arial"/>
                <w:sz w:val="24"/>
              </w:rPr>
              <w:t>-0分）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gridSpan w:val="2"/>
            <w:vMerge w:val="continue"/>
            <w:noWrap w:val="0"/>
            <w:vAlign w:val="center"/>
          </w:tcPr>
          <w:p>
            <w:pPr>
              <w:spacing w:line="276" w:lineRule="auto"/>
              <w:rPr>
                <w:rFonts w:ascii="Arial" w:hAnsi="Arial" w:cs="Arial"/>
                <w:sz w:val="24"/>
              </w:rPr>
            </w:pPr>
          </w:p>
        </w:tc>
        <w:tc>
          <w:tcPr>
            <w:tcW w:w="997" w:type="dxa"/>
            <w:gridSpan w:val="2"/>
            <w:vMerge w:val="continue"/>
            <w:noWrap w:val="0"/>
            <w:vAlign w:val="center"/>
          </w:tcPr>
          <w:p>
            <w:pPr>
              <w:spacing w:line="276" w:lineRule="auto"/>
              <w:rPr>
                <w:rFonts w:ascii="Arial" w:hAnsi="Arial" w:cs="Arial"/>
                <w:sz w:val="24"/>
              </w:rPr>
            </w:pPr>
          </w:p>
        </w:tc>
        <w:tc>
          <w:tcPr>
            <w:tcW w:w="1425" w:type="dxa"/>
            <w:gridSpan w:val="3"/>
            <w:noWrap w:val="0"/>
            <w:vAlign w:val="center"/>
          </w:tcPr>
          <w:p>
            <w:pPr>
              <w:spacing w:line="276" w:lineRule="auto"/>
              <w:rPr>
                <w:rFonts w:hint="eastAsia" w:ascii="Arial" w:hAnsi="Arial" w:cs="Arial"/>
                <w:sz w:val="24"/>
              </w:rPr>
            </w:pPr>
            <w:r>
              <w:rPr>
                <w:rFonts w:hint="eastAsia" w:ascii="Arial" w:hAnsi="Arial" w:cs="Arial"/>
                <w:sz w:val="24"/>
              </w:rPr>
              <w:t>应急预案</w:t>
            </w:r>
          </w:p>
          <w:p>
            <w:pPr>
              <w:spacing w:line="276" w:lineRule="auto"/>
              <w:rPr>
                <w:rFonts w:hint="eastAsia" w:ascii="Arial" w:hAnsi="Arial" w:cs="Arial"/>
                <w:sz w:val="24"/>
              </w:rPr>
            </w:pPr>
            <w:r>
              <w:rPr>
                <w:rFonts w:hint="eastAsia" w:ascii="Arial" w:hAnsi="Arial" w:cs="Arial"/>
                <w:sz w:val="24"/>
              </w:rPr>
              <w:t>（10分）</w:t>
            </w:r>
          </w:p>
        </w:tc>
        <w:tc>
          <w:tcPr>
            <w:tcW w:w="5879" w:type="dxa"/>
            <w:noWrap w:val="0"/>
            <w:vAlign w:val="center"/>
          </w:tcPr>
          <w:p>
            <w:pPr>
              <w:spacing w:line="276" w:lineRule="auto"/>
              <w:rPr>
                <w:rFonts w:hint="eastAsia" w:ascii="Arial" w:hAnsi="Arial" w:cs="Arial"/>
                <w:sz w:val="24"/>
              </w:rPr>
            </w:pPr>
            <w:r>
              <w:rPr>
                <w:rFonts w:hint="eastAsia" w:ascii="Arial" w:hAnsi="Arial" w:cs="Arial"/>
                <w:sz w:val="24"/>
              </w:rPr>
              <w:t>应急供货能力措施合理、可行性强的（优得10-6分、良得6-4分、一般得4-0分）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gridSpan w:val="2"/>
            <w:vMerge w:val="continue"/>
            <w:noWrap w:val="0"/>
            <w:vAlign w:val="center"/>
          </w:tcPr>
          <w:p>
            <w:pPr>
              <w:spacing w:line="276" w:lineRule="auto"/>
              <w:rPr>
                <w:rFonts w:ascii="Arial" w:hAnsi="Arial" w:cs="Arial"/>
                <w:sz w:val="24"/>
              </w:rPr>
            </w:pPr>
          </w:p>
        </w:tc>
        <w:tc>
          <w:tcPr>
            <w:tcW w:w="997" w:type="dxa"/>
            <w:gridSpan w:val="2"/>
            <w:vMerge w:val="continue"/>
            <w:noWrap w:val="0"/>
            <w:vAlign w:val="center"/>
          </w:tcPr>
          <w:p>
            <w:pPr>
              <w:spacing w:line="276" w:lineRule="auto"/>
              <w:rPr>
                <w:rFonts w:ascii="Arial" w:hAnsi="Arial" w:cs="Arial"/>
                <w:sz w:val="24"/>
              </w:rPr>
            </w:pPr>
          </w:p>
        </w:tc>
        <w:tc>
          <w:tcPr>
            <w:tcW w:w="1425" w:type="dxa"/>
            <w:gridSpan w:val="3"/>
            <w:noWrap w:val="0"/>
            <w:vAlign w:val="center"/>
          </w:tcPr>
          <w:p>
            <w:pPr>
              <w:spacing w:line="276" w:lineRule="auto"/>
              <w:rPr>
                <w:rFonts w:hint="eastAsia" w:ascii="Arial" w:hAnsi="Arial" w:cs="Arial"/>
                <w:sz w:val="24"/>
              </w:rPr>
            </w:pPr>
            <w:r>
              <w:rPr>
                <w:rFonts w:hint="eastAsia" w:ascii="Arial" w:hAnsi="Arial" w:cs="Arial"/>
                <w:sz w:val="24"/>
              </w:rPr>
              <w:t>售后承诺</w:t>
            </w:r>
          </w:p>
          <w:p>
            <w:pPr>
              <w:spacing w:line="276" w:lineRule="auto"/>
              <w:rPr>
                <w:rFonts w:ascii="Arial" w:hAnsi="Arial" w:cs="Arial"/>
                <w:sz w:val="24"/>
              </w:rPr>
            </w:pPr>
            <w:r>
              <w:rPr>
                <w:rFonts w:hint="eastAsia" w:ascii="Arial" w:hAnsi="Arial" w:cs="Arial"/>
                <w:sz w:val="24"/>
              </w:rPr>
              <w:t>（10分）</w:t>
            </w:r>
          </w:p>
        </w:tc>
        <w:tc>
          <w:tcPr>
            <w:tcW w:w="5879" w:type="dxa"/>
            <w:noWrap w:val="0"/>
            <w:vAlign w:val="center"/>
          </w:tcPr>
          <w:p>
            <w:pPr>
              <w:spacing w:line="276" w:lineRule="auto"/>
              <w:rPr>
                <w:rFonts w:hint="eastAsia" w:ascii="Arial" w:hAnsi="Arial" w:cs="Arial"/>
                <w:sz w:val="24"/>
              </w:rPr>
            </w:pPr>
            <w:r>
              <w:rPr>
                <w:rFonts w:hint="eastAsia" w:ascii="Arial" w:hAnsi="Arial" w:cs="Arial"/>
                <w:sz w:val="24"/>
              </w:rPr>
              <w:t>售后服务方案编制内容详尽、全面，服务体系科学合理（优得10-6分、良得6-4分、一般得4-0分）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890" w:type="dxa"/>
            <w:gridSpan w:val="2"/>
            <w:noWrap w:val="0"/>
            <w:vAlign w:val="center"/>
          </w:tcPr>
          <w:p>
            <w:pPr>
              <w:spacing w:line="320" w:lineRule="exact"/>
              <w:jc w:val="center"/>
              <w:rPr>
                <w:rFonts w:ascii="Arial" w:hAnsi="Arial" w:cs="Arial"/>
                <w:sz w:val="24"/>
                <w:lang w:eastAsia="en-US"/>
              </w:rPr>
            </w:pPr>
            <w:r>
              <w:rPr>
                <w:rFonts w:ascii="Arial" w:hAnsi="Arial" w:cs="Arial"/>
                <w:sz w:val="24"/>
                <w:lang w:eastAsia="en-US"/>
              </w:rPr>
              <w:t>2.2.4</w:t>
            </w:r>
          </w:p>
          <w:p>
            <w:pPr>
              <w:spacing w:line="320" w:lineRule="exact"/>
              <w:jc w:val="center"/>
              <w:rPr>
                <w:rFonts w:ascii="Arial" w:hAnsi="Arial" w:cs="Arial"/>
                <w:sz w:val="24"/>
                <w:lang w:eastAsia="en-US"/>
              </w:rPr>
            </w:pPr>
            <w:r>
              <w:rPr>
                <w:rFonts w:ascii="Arial" w:hAnsi="Arial" w:cs="Arial"/>
                <w:sz w:val="24"/>
                <w:lang w:eastAsia="en-US"/>
              </w:rPr>
              <w:t>（3）</w:t>
            </w:r>
          </w:p>
        </w:tc>
        <w:tc>
          <w:tcPr>
            <w:tcW w:w="997" w:type="dxa"/>
            <w:gridSpan w:val="2"/>
            <w:noWrap w:val="0"/>
            <w:vAlign w:val="center"/>
          </w:tcPr>
          <w:p>
            <w:pPr>
              <w:spacing w:line="320" w:lineRule="exact"/>
              <w:jc w:val="center"/>
              <w:rPr>
                <w:rFonts w:ascii="Arial" w:hAnsi="Arial" w:cs="Arial"/>
                <w:sz w:val="24"/>
              </w:rPr>
            </w:pPr>
            <w:r>
              <w:rPr>
                <w:rFonts w:hint="eastAsia" w:ascii="Arial" w:hAnsi="Arial" w:cs="Arial"/>
                <w:sz w:val="24"/>
              </w:rPr>
              <w:t>投标报价（30）分</w:t>
            </w:r>
          </w:p>
        </w:tc>
        <w:tc>
          <w:tcPr>
            <w:tcW w:w="7304" w:type="dxa"/>
            <w:gridSpan w:val="4"/>
            <w:noWrap w:val="0"/>
            <w:vAlign w:val="center"/>
          </w:tcPr>
          <w:p>
            <w:pPr>
              <w:spacing w:line="320" w:lineRule="exact"/>
              <w:rPr>
                <w:rFonts w:ascii="Arial" w:hAnsi="Arial" w:cs="Arial"/>
                <w:sz w:val="24"/>
              </w:rPr>
            </w:pPr>
            <w:r>
              <w:rPr>
                <w:rFonts w:ascii="Arial" w:hAnsi="Arial" w:cs="Arial"/>
                <w:sz w:val="24"/>
              </w:rPr>
              <w:t>投标报价得分＝（评标基准价/投标报价）×价格权值×100（注：满足招标文件要求且投标价格最低的投标报价为评标基准价。）最低报价不是中标的唯一依据。</w:t>
            </w:r>
          </w:p>
        </w:tc>
      </w:tr>
    </w:tbl>
    <w:p>
      <w:pPr>
        <w:pStyle w:val="5"/>
        <w:spacing w:before="0" w:after="0" w:line="360" w:lineRule="auto"/>
        <w:jc w:val="both"/>
        <w:rPr>
          <w:rFonts w:ascii="Arial" w:hAnsi="Arial" w:eastAsia="宋体" w:cs="Arial"/>
          <w:szCs w:val="44"/>
        </w:rPr>
      </w:pPr>
    </w:p>
    <w:p>
      <w:pPr>
        <w:pStyle w:val="4"/>
        <w:spacing w:line="360" w:lineRule="auto"/>
        <w:ind w:firstLine="562" w:firstLineChars="200"/>
        <w:rPr>
          <w:rFonts w:ascii="Arial" w:hAnsi="Arial" w:cs="Arial"/>
          <w:b/>
          <w:kern w:val="2"/>
          <w:sz w:val="28"/>
          <w:szCs w:val="28"/>
        </w:rPr>
      </w:pPr>
      <w:r>
        <w:rPr>
          <w:rFonts w:ascii="Arial" w:hAnsi="Arial" w:cs="Arial"/>
          <w:b/>
          <w:kern w:val="2"/>
          <w:sz w:val="28"/>
          <w:szCs w:val="28"/>
        </w:rPr>
        <w:br w:type="page"/>
      </w:r>
      <w:r>
        <w:rPr>
          <w:rFonts w:ascii="Arial" w:hAnsi="Arial" w:cs="Arial"/>
          <w:b/>
          <w:kern w:val="2"/>
          <w:sz w:val="28"/>
          <w:szCs w:val="28"/>
        </w:rPr>
        <w:t>一、总则</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本次评标采用综合评估法。评标委员会对满足招标（采购）文件实质性要求的投标响应文件，按照本章第2条规定的评分标准进行打分，并按得分由高到低顺序推荐中标候选人，或根据招标（采购）人授权直接确定中标人。当综合得分相等时，以报价低的优先，当</w:t>
      </w:r>
      <w:r>
        <w:rPr>
          <w:rFonts w:hint="eastAsia" w:ascii="Arial" w:hAnsi="Arial" w:cs="Arial"/>
          <w:bCs/>
          <w:kern w:val="2"/>
          <w:sz w:val="28"/>
          <w:szCs w:val="28"/>
        </w:rPr>
        <w:t>报价</w:t>
      </w:r>
      <w:r>
        <w:rPr>
          <w:rFonts w:ascii="Arial" w:hAnsi="Arial" w:cs="Arial"/>
          <w:bCs/>
          <w:kern w:val="2"/>
          <w:sz w:val="28"/>
          <w:szCs w:val="28"/>
        </w:rPr>
        <w:t>也相</w:t>
      </w:r>
      <w:r>
        <w:rPr>
          <w:rFonts w:hint="eastAsia" w:ascii="Arial" w:hAnsi="Arial" w:cs="Arial"/>
          <w:bCs/>
          <w:kern w:val="2"/>
          <w:sz w:val="28"/>
          <w:szCs w:val="28"/>
        </w:rPr>
        <w:t>同</w:t>
      </w:r>
      <w:r>
        <w:rPr>
          <w:rFonts w:ascii="Arial" w:hAnsi="Arial" w:cs="Arial"/>
          <w:bCs/>
          <w:kern w:val="2"/>
          <w:sz w:val="28"/>
          <w:szCs w:val="28"/>
        </w:rPr>
        <w:t>时，以商务、技术评审得分高的优先</w:t>
      </w:r>
      <w:r>
        <w:rPr>
          <w:rFonts w:hint="eastAsia" w:ascii="Arial" w:hAnsi="Arial" w:cs="Arial"/>
          <w:bCs/>
          <w:kern w:val="2"/>
          <w:sz w:val="28"/>
          <w:szCs w:val="28"/>
        </w:rPr>
        <w:t>，当以上两条都相等时以</w:t>
      </w:r>
      <w:r>
        <w:rPr>
          <w:rFonts w:ascii="Arial" w:hAnsi="Arial" w:cs="Arial"/>
          <w:bCs/>
          <w:kern w:val="2"/>
          <w:sz w:val="28"/>
          <w:szCs w:val="28"/>
        </w:rPr>
        <w:t>投标产品列入节能产品政府采购品目清单或环境标志产品政府采购品目清单优先。</w:t>
      </w:r>
    </w:p>
    <w:p>
      <w:pPr>
        <w:pStyle w:val="4"/>
        <w:spacing w:line="360" w:lineRule="auto"/>
        <w:ind w:firstLine="562" w:firstLineChars="200"/>
        <w:rPr>
          <w:rFonts w:ascii="Arial" w:hAnsi="Arial" w:cs="Arial"/>
          <w:b/>
          <w:kern w:val="2"/>
          <w:sz w:val="28"/>
          <w:szCs w:val="28"/>
        </w:rPr>
      </w:pPr>
      <w:r>
        <w:rPr>
          <w:rFonts w:ascii="Arial" w:hAnsi="Arial" w:cs="Arial"/>
          <w:b/>
          <w:kern w:val="2"/>
          <w:sz w:val="28"/>
          <w:szCs w:val="28"/>
        </w:rPr>
        <w:t>二、评标程序和评审标准</w:t>
      </w:r>
    </w:p>
    <w:p>
      <w:pPr>
        <w:pStyle w:val="4"/>
        <w:spacing w:line="360" w:lineRule="auto"/>
        <w:ind w:firstLine="562" w:firstLineChars="200"/>
        <w:rPr>
          <w:rFonts w:ascii="Arial" w:hAnsi="Arial" w:cs="Arial"/>
          <w:b/>
          <w:kern w:val="2"/>
          <w:sz w:val="28"/>
          <w:szCs w:val="28"/>
        </w:rPr>
      </w:pPr>
      <w:r>
        <w:rPr>
          <w:rFonts w:ascii="Arial" w:hAnsi="Arial" w:cs="Arial"/>
          <w:b/>
          <w:kern w:val="2"/>
          <w:sz w:val="28"/>
          <w:szCs w:val="28"/>
        </w:rPr>
        <w:t xml:space="preserve">1.评审的准备 </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评审前，代理采购人员向评审小组成员宣布评审纪律和评审工作规则，并遵照执行。评审小组成员签署《评审人员承诺书》。评审小组成员对与自己有利害关系的项目应当主动提出回避。</w:t>
      </w:r>
    </w:p>
    <w:p>
      <w:pPr>
        <w:pStyle w:val="4"/>
        <w:spacing w:line="360" w:lineRule="auto"/>
        <w:ind w:firstLine="562" w:firstLineChars="200"/>
        <w:rPr>
          <w:rFonts w:ascii="Arial" w:hAnsi="Arial" w:cs="Arial"/>
          <w:b/>
          <w:kern w:val="2"/>
          <w:sz w:val="28"/>
          <w:szCs w:val="28"/>
        </w:rPr>
      </w:pPr>
      <w:r>
        <w:rPr>
          <w:rFonts w:ascii="Arial" w:hAnsi="Arial" w:cs="Arial"/>
          <w:b/>
          <w:kern w:val="2"/>
          <w:sz w:val="28"/>
          <w:szCs w:val="28"/>
        </w:rPr>
        <w:t>2.评审程序</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评标工作按以下程序进行：</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（1）初步评审（形式评审与响应性评审）；</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（2）资格评审；</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（3）澄清（如需要）；</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（4）与</w:t>
      </w:r>
      <w:r>
        <w:rPr>
          <w:rFonts w:ascii="Arial" w:hAnsi="Arial" w:cs="Arial"/>
          <w:kern w:val="2"/>
          <w:sz w:val="28"/>
          <w:szCs w:val="28"/>
        </w:rPr>
        <w:t>参加招标（采购）活动的报价人</w:t>
      </w:r>
      <w:r>
        <w:rPr>
          <w:rFonts w:hint="eastAsia" w:ascii="Arial" w:hAnsi="Arial" w:cs="Arial"/>
          <w:kern w:val="2"/>
          <w:sz w:val="28"/>
          <w:szCs w:val="28"/>
        </w:rPr>
        <w:t>谈判、</w:t>
      </w:r>
      <w:r>
        <w:rPr>
          <w:rFonts w:ascii="Arial" w:hAnsi="Arial" w:cs="Arial"/>
          <w:kern w:val="2"/>
          <w:sz w:val="28"/>
          <w:szCs w:val="28"/>
        </w:rPr>
        <w:t>磋商（</w:t>
      </w:r>
      <w:r>
        <w:rPr>
          <w:rFonts w:ascii="Arial" w:hAnsi="Arial" w:cs="Arial"/>
          <w:bCs/>
          <w:kern w:val="2"/>
          <w:sz w:val="28"/>
          <w:szCs w:val="28"/>
        </w:rPr>
        <w:t>如需要</w:t>
      </w:r>
      <w:r>
        <w:rPr>
          <w:rFonts w:ascii="Arial" w:hAnsi="Arial" w:cs="Arial"/>
          <w:kern w:val="2"/>
          <w:sz w:val="28"/>
          <w:szCs w:val="28"/>
        </w:rPr>
        <w:t>）</w:t>
      </w:r>
      <w:r>
        <w:rPr>
          <w:rFonts w:ascii="Arial" w:hAnsi="Arial" w:cs="Arial"/>
          <w:bCs/>
          <w:kern w:val="2"/>
          <w:sz w:val="28"/>
          <w:szCs w:val="28"/>
        </w:rPr>
        <w:t>；</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w:t>
      </w:r>
      <w:r>
        <w:rPr>
          <w:rFonts w:hint="eastAsia" w:ascii="Arial" w:hAnsi="Arial" w:cs="Arial"/>
          <w:bCs/>
          <w:kern w:val="2"/>
          <w:sz w:val="28"/>
          <w:szCs w:val="28"/>
        </w:rPr>
        <w:t>5</w:t>
      </w:r>
      <w:r>
        <w:rPr>
          <w:rFonts w:ascii="Arial" w:hAnsi="Arial" w:cs="Arial"/>
          <w:bCs/>
          <w:kern w:val="2"/>
          <w:sz w:val="28"/>
          <w:szCs w:val="28"/>
        </w:rPr>
        <w:t>）详细评审并打分；</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w:t>
      </w:r>
      <w:r>
        <w:rPr>
          <w:rFonts w:hint="eastAsia" w:ascii="Arial" w:hAnsi="Arial" w:cs="Arial"/>
          <w:bCs/>
          <w:kern w:val="2"/>
          <w:sz w:val="28"/>
          <w:szCs w:val="28"/>
        </w:rPr>
        <w:t>6</w:t>
      </w:r>
      <w:r>
        <w:rPr>
          <w:rFonts w:ascii="Arial" w:hAnsi="Arial" w:cs="Arial"/>
          <w:bCs/>
          <w:kern w:val="2"/>
          <w:sz w:val="28"/>
          <w:szCs w:val="28"/>
        </w:rPr>
        <w:t>）综合评价，提出评标意见；</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w:t>
      </w:r>
      <w:r>
        <w:rPr>
          <w:rFonts w:hint="eastAsia" w:ascii="Arial" w:hAnsi="Arial" w:cs="Arial"/>
          <w:bCs/>
          <w:kern w:val="2"/>
          <w:sz w:val="28"/>
          <w:szCs w:val="28"/>
        </w:rPr>
        <w:t>7</w:t>
      </w:r>
      <w:r>
        <w:rPr>
          <w:rFonts w:ascii="Arial" w:hAnsi="Arial" w:cs="Arial"/>
          <w:bCs/>
          <w:kern w:val="2"/>
          <w:sz w:val="28"/>
          <w:szCs w:val="28"/>
        </w:rPr>
        <w:t>）编写评标报告。</w:t>
      </w:r>
    </w:p>
    <w:p>
      <w:pPr>
        <w:pStyle w:val="4"/>
        <w:spacing w:line="360" w:lineRule="auto"/>
        <w:ind w:firstLine="562" w:firstLineChars="200"/>
        <w:rPr>
          <w:rFonts w:ascii="Arial" w:hAnsi="Arial" w:cs="Arial"/>
          <w:b/>
          <w:bCs/>
          <w:kern w:val="2"/>
          <w:sz w:val="28"/>
          <w:szCs w:val="28"/>
        </w:rPr>
      </w:pPr>
      <w:r>
        <w:rPr>
          <w:rFonts w:ascii="Arial" w:hAnsi="Arial" w:cs="Arial"/>
          <w:b/>
          <w:bCs/>
          <w:kern w:val="2"/>
          <w:sz w:val="28"/>
          <w:szCs w:val="28"/>
        </w:rPr>
        <w:t xml:space="preserve">2.1 </w:t>
      </w:r>
      <w:r>
        <w:rPr>
          <w:rFonts w:ascii="Arial" w:hAnsi="Arial" w:cs="Arial"/>
          <w:b/>
          <w:bCs/>
          <w:sz w:val="28"/>
          <w:szCs w:val="28"/>
        </w:rPr>
        <w:t>初步评审</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评审小组首先对所有投标响应文件进行</w:t>
      </w:r>
      <w:r>
        <w:rPr>
          <w:rFonts w:ascii="Arial" w:hAnsi="Arial" w:cs="Arial"/>
          <w:bCs/>
          <w:kern w:val="2"/>
          <w:sz w:val="28"/>
          <w:szCs w:val="28"/>
        </w:rPr>
        <w:t>初步评审，</w:t>
      </w:r>
      <w:r>
        <w:rPr>
          <w:rFonts w:ascii="Arial" w:hAnsi="Arial" w:cs="Arial"/>
          <w:kern w:val="2"/>
          <w:sz w:val="28"/>
          <w:szCs w:val="28"/>
        </w:rPr>
        <w:t>有一项不符合评审标准的，作否决投标处理。初步评审的标准见“评标办法前附表”。</w:t>
      </w:r>
    </w:p>
    <w:p>
      <w:pPr>
        <w:pStyle w:val="4"/>
        <w:spacing w:line="360" w:lineRule="auto"/>
        <w:ind w:firstLine="562" w:firstLineChars="200"/>
        <w:rPr>
          <w:rFonts w:ascii="Arial" w:hAnsi="Arial" w:cs="Arial"/>
          <w:b/>
          <w:bCs/>
          <w:sz w:val="28"/>
          <w:szCs w:val="28"/>
        </w:rPr>
      </w:pPr>
      <w:r>
        <w:rPr>
          <w:rFonts w:ascii="Arial" w:hAnsi="Arial" w:cs="Arial"/>
          <w:b/>
          <w:bCs/>
          <w:kern w:val="2"/>
          <w:sz w:val="28"/>
          <w:szCs w:val="28"/>
        </w:rPr>
        <w:t xml:space="preserve">2.2 </w:t>
      </w:r>
      <w:r>
        <w:rPr>
          <w:rFonts w:ascii="Arial" w:hAnsi="Arial" w:cs="Arial"/>
          <w:b/>
          <w:bCs/>
          <w:sz w:val="28"/>
          <w:szCs w:val="28"/>
        </w:rPr>
        <w:t>资格评审</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评审小组对通过初步评审的投标响应文件进行资格审查，有一项不符合评审标准的，作否决投标处理。资格审查的标准见“评标办法前附表”</w:t>
      </w:r>
    </w:p>
    <w:p>
      <w:pPr>
        <w:pStyle w:val="4"/>
        <w:spacing w:line="360" w:lineRule="auto"/>
        <w:ind w:firstLine="562" w:firstLineChars="200"/>
        <w:rPr>
          <w:rFonts w:ascii="Arial" w:hAnsi="Arial" w:cs="Arial"/>
          <w:b/>
          <w:bCs/>
          <w:kern w:val="2"/>
          <w:sz w:val="28"/>
          <w:szCs w:val="28"/>
        </w:rPr>
      </w:pPr>
      <w:r>
        <w:rPr>
          <w:rFonts w:ascii="Arial" w:hAnsi="Arial" w:cs="Arial"/>
          <w:b/>
          <w:bCs/>
          <w:kern w:val="2"/>
          <w:sz w:val="28"/>
          <w:szCs w:val="28"/>
        </w:rPr>
        <w:t>2.3 详细评审</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2.3.1 评标委员会对通过初步评审及资格评审的投标响应文件进行详细评审。详细评审打分见“评标办法前附表”。 评标委员会根据“评标办法前附表”确定的评分标准进行独立评审打分，所有</w:t>
      </w:r>
      <w:r>
        <w:rPr>
          <w:rFonts w:hint="eastAsia" w:ascii="Arial" w:hAnsi="Arial" w:cs="Arial"/>
          <w:kern w:val="2"/>
          <w:sz w:val="28"/>
          <w:szCs w:val="28"/>
        </w:rPr>
        <w:t>技术</w:t>
      </w:r>
      <w:r>
        <w:rPr>
          <w:rFonts w:ascii="Arial" w:hAnsi="Arial" w:cs="Arial"/>
          <w:kern w:val="2"/>
          <w:sz w:val="28"/>
          <w:szCs w:val="28"/>
        </w:rPr>
        <w:t>专家评分值的算术平均值作为投标人技术文件评审最终得分</w:t>
      </w:r>
      <w:r>
        <w:rPr>
          <w:rFonts w:hint="eastAsia" w:ascii="Arial" w:hAnsi="Arial" w:cs="Arial"/>
          <w:kern w:val="2"/>
          <w:sz w:val="28"/>
          <w:szCs w:val="28"/>
        </w:rPr>
        <w:t>，</w:t>
      </w:r>
      <w:r>
        <w:rPr>
          <w:rFonts w:ascii="Arial" w:hAnsi="Arial" w:cs="Arial"/>
          <w:kern w:val="2"/>
          <w:sz w:val="28"/>
          <w:szCs w:val="28"/>
        </w:rPr>
        <w:t>所有</w:t>
      </w:r>
      <w:r>
        <w:rPr>
          <w:rFonts w:hint="eastAsia" w:ascii="Arial" w:hAnsi="Arial" w:cs="Arial"/>
          <w:kern w:val="2"/>
          <w:sz w:val="28"/>
          <w:szCs w:val="28"/>
        </w:rPr>
        <w:t>经济</w:t>
      </w:r>
      <w:r>
        <w:rPr>
          <w:rFonts w:ascii="Arial" w:hAnsi="Arial" w:cs="Arial"/>
          <w:kern w:val="2"/>
          <w:sz w:val="28"/>
          <w:szCs w:val="28"/>
        </w:rPr>
        <w:t>专家评分值的算术平均值作为投标人商务文件评审最终得分（四舍五入保留二位小数）。</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2.3.2 评标委员会发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投标，并否决其投标。</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2.3.3 投标人综合得分＝商务文件得分+技术文件评审最终得分+投标报价评审最终得分。</w:t>
      </w:r>
    </w:p>
    <w:p>
      <w:pPr>
        <w:pStyle w:val="4"/>
        <w:spacing w:line="360" w:lineRule="auto"/>
        <w:ind w:firstLine="562" w:firstLineChars="200"/>
        <w:rPr>
          <w:rFonts w:ascii="Arial" w:hAnsi="Arial" w:cs="Arial"/>
          <w:b/>
          <w:bCs/>
          <w:kern w:val="2"/>
          <w:sz w:val="28"/>
          <w:szCs w:val="28"/>
        </w:rPr>
      </w:pPr>
      <w:r>
        <w:rPr>
          <w:rFonts w:ascii="Arial" w:hAnsi="Arial" w:cs="Arial"/>
          <w:b/>
          <w:bCs/>
          <w:kern w:val="2"/>
          <w:sz w:val="28"/>
          <w:szCs w:val="28"/>
        </w:rPr>
        <w:t>3.投标响应文件的澄清和说明</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3.1评标委员会可以书面形式要求投标人对所提交投标响应文件中不明确的内容、明显文字错误进行书面澄清或说明。评标委员会不接受投标人主动提出的澄清、说明。</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3.2 澄清、说明不得超出投标响应文件的范围或者改变投标响应文件的实质性内容。投标人的书面澄清、说明属于投标响应文件的组成部分。</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3.4 澄清、说明</w:t>
      </w:r>
      <w:r>
        <w:rPr>
          <w:rFonts w:ascii="Arial" w:hAnsi="Arial" w:cs="Arial"/>
          <w:sz w:val="28"/>
          <w:szCs w:val="28"/>
        </w:rPr>
        <w:t>逾时不交的，可视同报价人放弃</w:t>
      </w:r>
      <w:r>
        <w:rPr>
          <w:rFonts w:ascii="Arial" w:hAnsi="Arial" w:cs="Arial"/>
          <w:kern w:val="2"/>
          <w:sz w:val="28"/>
          <w:szCs w:val="28"/>
        </w:rPr>
        <w:t>澄清、说明</w:t>
      </w:r>
      <w:r>
        <w:rPr>
          <w:rFonts w:ascii="Arial" w:hAnsi="Arial" w:cs="Arial"/>
          <w:sz w:val="28"/>
          <w:szCs w:val="28"/>
        </w:rPr>
        <w:t>，评标委员会依据相关评审</w:t>
      </w:r>
      <w:r>
        <w:rPr>
          <w:rFonts w:hint="eastAsia" w:ascii="Arial" w:hAnsi="Arial" w:cs="Arial"/>
          <w:sz w:val="28"/>
          <w:szCs w:val="28"/>
        </w:rPr>
        <w:t>因素</w:t>
      </w:r>
      <w:r>
        <w:rPr>
          <w:rFonts w:ascii="Arial" w:hAnsi="Arial" w:cs="Arial"/>
          <w:sz w:val="28"/>
          <w:szCs w:val="28"/>
        </w:rPr>
        <w:t>处理。</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3.5 评标委员会对投标人提交的澄清、说明有疑问的，可以要求投标人进一步澄清、说明，直至满足评标委员会的要求。</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3.6 评标委员将拒绝被确定为非实质性响应的投标响应文件</w:t>
      </w:r>
      <w:r>
        <w:rPr>
          <w:rFonts w:hint="eastAsia" w:ascii="Arial" w:hAnsi="Arial" w:cs="Arial"/>
          <w:kern w:val="2"/>
          <w:sz w:val="28"/>
          <w:szCs w:val="28"/>
        </w:rPr>
        <w:t>的</w:t>
      </w:r>
      <w:r>
        <w:rPr>
          <w:rFonts w:ascii="Arial" w:hAnsi="Arial" w:cs="Arial"/>
          <w:kern w:val="2"/>
          <w:sz w:val="28"/>
          <w:szCs w:val="28"/>
        </w:rPr>
        <w:t>澄清、说明，投标人不能通过澄清、说明或撤销投标响应文件中的不符之处而使得投标响应文件成为实质性投标响应文件。</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3.4评标委员会不得暗示或诱导投标人作出澄清、说明。</w:t>
      </w:r>
    </w:p>
    <w:p>
      <w:pPr>
        <w:pStyle w:val="4"/>
        <w:spacing w:line="360" w:lineRule="auto"/>
        <w:ind w:firstLine="562" w:firstLineChars="200"/>
        <w:rPr>
          <w:rFonts w:ascii="Arial" w:hAnsi="Arial" w:cs="Arial"/>
          <w:b/>
          <w:bCs/>
          <w:kern w:val="2"/>
          <w:sz w:val="28"/>
          <w:szCs w:val="28"/>
        </w:rPr>
      </w:pPr>
      <w:r>
        <w:rPr>
          <w:rFonts w:ascii="Arial" w:hAnsi="Arial" w:cs="Arial"/>
          <w:b/>
          <w:bCs/>
          <w:kern w:val="2"/>
          <w:sz w:val="28"/>
          <w:szCs w:val="28"/>
        </w:rPr>
        <w:t>4.评标结果</w:t>
      </w:r>
    </w:p>
    <w:p>
      <w:pPr>
        <w:pStyle w:val="4"/>
        <w:spacing w:line="360" w:lineRule="auto"/>
        <w:ind w:firstLine="560" w:firstLineChars="200"/>
        <w:rPr>
          <w:rFonts w:ascii="Arial" w:hAnsi="Arial" w:cs="Arial"/>
          <w:sz w:val="28"/>
          <w:szCs w:val="28"/>
        </w:rPr>
      </w:pPr>
      <w:r>
        <w:rPr>
          <w:rFonts w:ascii="Arial" w:hAnsi="Arial" w:cs="Arial"/>
          <w:kern w:val="2"/>
          <w:sz w:val="28"/>
          <w:szCs w:val="28"/>
        </w:rPr>
        <w:t>4.1 评审小组根据综合评分情况，按照评审得分由高到低推荐成交候选人，并编写评审报告。评审报告由评审小组全体人员签字。评审小组成员对评审报告有异议的，评审小组按照少数服从多数的原则推荐成交候选人，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pStyle w:val="4"/>
        <w:spacing w:line="360" w:lineRule="auto"/>
        <w:ind w:firstLine="562" w:firstLineChars="200"/>
        <w:rPr>
          <w:rFonts w:ascii="Arial" w:hAnsi="Arial" w:cs="Arial"/>
          <w:b/>
          <w:sz w:val="28"/>
          <w:szCs w:val="28"/>
        </w:rPr>
      </w:pPr>
      <w:r>
        <w:rPr>
          <w:rFonts w:ascii="Arial" w:hAnsi="Arial" w:cs="Arial"/>
          <w:b/>
          <w:sz w:val="28"/>
          <w:szCs w:val="28"/>
        </w:rPr>
        <w:t>三、竞争性磋商须知</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1. 依据中华人民共和国财政部财库〔2015〕124号文件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4"/>
        <w:spacing w:line="360" w:lineRule="auto"/>
        <w:ind w:firstLine="562" w:firstLineChars="200"/>
        <w:rPr>
          <w:rFonts w:ascii="Arial" w:hAnsi="Arial" w:cs="Arial"/>
          <w:b/>
          <w:sz w:val="28"/>
          <w:szCs w:val="28"/>
        </w:rPr>
      </w:pPr>
      <w:r>
        <w:rPr>
          <w:rFonts w:ascii="Arial" w:hAnsi="Arial" w:cs="Arial"/>
          <w:b/>
          <w:kern w:val="2"/>
          <w:sz w:val="28"/>
          <w:szCs w:val="28"/>
        </w:rPr>
        <w:t>2. 磋商</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2.1 按照投标人递交投标响应文件顺序或者随机方式等确定磋商顺序。所有评审小组成员集中与所有通过初步评审</w:t>
      </w:r>
      <w:r>
        <w:rPr>
          <w:rFonts w:hint="eastAsia" w:ascii="Arial" w:hAnsi="Arial" w:cs="Arial"/>
          <w:kern w:val="2"/>
          <w:sz w:val="28"/>
          <w:szCs w:val="28"/>
        </w:rPr>
        <w:t>和资格</w:t>
      </w:r>
      <w:r>
        <w:rPr>
          <w:rFonts w:ascii="Arial" w:hAnsi="Arial" w:cs="Arial"/>
          <w:kern w:val="2"/>
          <w:sz w:val="28"/>
          <w:szCs w:val="28"/>
        </w:rPr>
        <w:t>评审的投标人分别进行单独磋商。磋商时</w:t>
      </w:r>
      <w:r>
        <w:rPr>
          <w:rFonts w:ascii="Arial" w:hAnsi="Arial" w:cs="Arial"/>
          <w:sz w:val="28"/>
          <w:szCs w:val="28"/>
        </w:rPr>
        <w:t>双方不得透露与有关的其他</w:t>
      </w:r>
      <w:r>
        <w:rPr>
          <w:rFonts w:ascii="Arial" w:hAnsi="Arial" w:cs="Arial"/>
          <w:kern w:val="2"/>
          <w:sz w:val="28"/>
          <w:szCs w:val="28"/>
        </w:rPr>
        <w:t>投标人</w:t>
      </w:r>
      <w:r>
        <w:rPr>
          <w:rFonts w:ascii="Arial" w:hAnsi="Arial" w:cs="Arial"/>
          <w:sz w:val="28"/>
          <w:szCs w:val="28"/>
        </w:rPr>
        <w:t>的技术资料、价格和其他任何信息</w:t>
      </w:r>
      <w:r>
        <w:rPr>
          <w:rFonts w:ascii="Arial" w:hAnsi="Arial" w:cs="Arial"/>
          <w:kern w:val="2"/>
          <w:sz w:val="28"/>
          <w:szCs w:val="28"/>
        </w:rPr>
        <w:t>。</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2.2 评审小组就本项目需求、投标人基本情况、财务状况、项目经验和提供服务能力等与投标人代表磋商，内容包括但不限于：可以对招标（采购）文件中对某些事项有规定要求，而投标响应文件表述不清楚或没有提供相关资料的事项；投标响应文件不能详细列明采购标的的技术、服务要求，需由投标人提供最终资料；需要质疑、询问投标人的其他事项。</w:t>
      </w:r>
    </w:p>
    <w:p>
      <w:pPr>
        <w:pStyle w:val="4"/>
        <w:spacing w:line="360" w:lineRule="auto"/>
        <w:ind w:firstLine="560" w:firstLineChars="200"/>
        <w:rPr>
          <w:rFonts w:ascii="Arial" w:hAnsi="Arial" w:cs="Arial"/>
          <w:kern w:val="2"/>
          <w:sz w:val="21"/>
          <w:szCs w:val="21"/>
        </w:rPr>
      </w:pPr>
      <w:r>
        <w:rPr>
          <w:rFonts w:ascii="Arial" w:hAnsi="Arial" w:cs="Arial"/>
          <w:kern w:val="2"/>
          <w:sz w:val="28"/>
          <w:szCs w:val="28"/>
        </w:rPr>
        <w:t>2.3 在与所有通过初步评审</w:t>
      </w:r>
      <w:r>
        <w:rPr>
          <w:rFonts w:hint="eastAsia" w:ascii="Arial" w:hAnsi="Arial" w:cs="Arial"/>
          <w:kern w:val="2"/>
          <w:sz w:val="28"/>
          <w:szCs w:val="28"/>
        </w:rPr>
        <w:t>和资格</w:t>
      </w:r>
      <w:r>
        <w:rPr>
          <w:rFonts w:ascii="Arial" w:hAnsi="Arial" w:cs="Arial"/>
          <w:kern w:val="2"/>
          <w:sz w:val="28"/>
          <w:szCs w:val="28"/>
        </w:rPr>
        <w:t>评审的投标人分别磋商后，评审小组应当按照少数服从多数的原则推荐投标</w:t>
      </w:r>
      <w:r>
        <w:rPr>
          <w:rFonts w:hint="eastAsia" w:ascii="Arial" w:hAnsi="Arial" w:cs="Arial"/>
          <w:kern w:val="2"/>
          <w:sz w:val="28"/>
          <w:szCs w:val="28"/>
        </w:rPr>
        <w:t>候选</w:t>
      </w:r>
      <w:r>
        <w:rPr>
          <w:rFonts w:ascii="Arial" w:hAnsi="Arial" w:cs="Arial"/>
          <w:kern w:val="2"/>
          <w:sz w:val="28"/>
          <w:szCs w:val="28"/>
        </w:rPr>
        <w:t>人，进行优化、组合，并要求其在规定时间内提交最后报价。</w:t>
      </w:r>
      <w:bookmarkStart w:id="1" w:name="_GoBack"/>
      <w:r>
        <w:rPr>
          <w:rFonts w:hint="eastAsia" w:ascii="Arial" w:hAnsi="Arial" w:cs="Arial"/>
          <w:b/>
          <w:bCs/>
          <w:kern w:val="2"/>
          <w:sz w:val="21"/>
          <w:szCs w:val="21"/>
        </w:rPr>
        <w:t>本项目</w:t>
      </w:r>
      <w:r>
        <w:rPr>
          <w:rFonts w:hint="eastAsia" w:ascii="Arial" w:hAnsi="Arial" w:cs="Arial"/>
          <w:b/>
          <w:bCs/>
          <w:kern w:val="2"/>
          <w:sz w:val="21"/>
          <w:szCs w:val="21"/>
          <w:lang w:val="en-US" w:eastAsia="zh-CN"/>
        </w:rPr>
        <w:t>二</w:t>
      </w:r>
      <w:r>
        <w:rPr>
          <w:rFonts w:hint="eastAsia" w:ascii="Arial" w:hAnsi="Arial" w:cs="Arial"/>
          <w:b/>
          <w:bCs/>
          <w:kern w:val="2"/>
          <w:sz w:val="21"/>
          <w:szCs w:val="21"/>
        </w:rPr>
        <w:t>轮报价即为最终报价。</w:t>
      </w:r>
    </w:p>
    <w:bookmarkEnd w:id="1"/>
    <w:p>
      <w:pPr>
        <w:pStyle w:val="5"/>
        <w:spacing w:before="0" w:after="0" w:line="360" w:lineRule="auto"/>
        <w:jc w:val="both"/>
        <w:rPr>
          <w:rFonts w:ascii="Arial" w:hAnsi="Arial" w:eastAsia="宋体" w:cs="Arial"/>
          <w:sz w:val="28"/>
          <w:szCs w:val="28"/>
        </w:rPr>
      </w:pPr>
    </w:p>
    <w:p>
      <w:pPr>
        <w:rPr>
          <w:rFonts w:hint="eastAsia" w:eastAsia="宋体"/>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jM2E1ZGNjODI5M2NjYjdmOWRjZTcxNGM4ZDBmNWEifQ=="/>
  </w:docVars>
  <w:rsids>
    <w:rsidRoot w:val="00000000"/>
    <w:rsid w:val="172420F4"/>
    <w:rsid w:val="183D0B4A"/>
    <w:rsid w:val="2DA07759"/>
    <w:rsid w:val="36260A17"/>
    <w:rsid w:val="3A524711"/>
    <w:rsid w:val="3F16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Default"/>
    <w:next w:val="3"/>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Date"/>
    <w:basedOn w:val="1"/>
    <w:next w:val="1"/>
    <w:autoRedefine/>
    <w:qFormat/>
    <w:uiPriority w:val="99"/>
    <w:pPr>
      <w:ind w:left="100" w:leftChars="2500"/>
    </w:pPr>
    <w:rPr>
      <w:rFonts w:ascii="Courier New" w:hAnsi="等线"/>
      <w:kern w:val="0"/>
      <w:szCs w:val="21"/>
    </w:rPr>
  </w:style>
  <w:style w:type="paragraph" w:styleId="4">
    <w:name w:val="Plain Text"/>
    <w:basedOn w:val="1"/>
    <w:autoRedefine/>
    <w:qFormat/>
    <w:uiPriority w:val="0"/>
    <w:rPr>
      <w:rFonts w:ascii="Courier New" w:hAnsi="等线"/>
      <w:kern w:val="0"/>
      <w:szCs w:val="21"/>
    </w:rPr>
  </w:style>
  <w:style w:type="paragraph" w:styleId="5">
    <w:name w:val="Title"/>
    <w:basedOn w:val="1"/>
    <w:next w:val="1"/>
    <w:autoRedefine/>
    <w:qFormat/>
    <w:uiPriority w:val="99"/>
    <w:pPr>
      <w:spacing w:before="240" w:beforeLines="0" w:after="60" w:afterLines="0"/>
      <w:ind w:firstLine="0" w:firstLineChars="0"/>
      <w:jc w:val="center"/>
      <w:outlineLvl w:val="0"/>
    </w:pPr>
    <w:rPr>
      <w:rFonts w:ascii="等线 Light" w:hAnsi="等线 Light" w:eastAsia="Calibri"/>
      <w:b/>
      <w:bCs/>
      <w:sz w:val="4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2024-04-26T08:19:00Z</dcterms:created>
  <dc:creator>lenovo</dc:creator>
  <cp:lastModifiedBy>璇</cp:lastModifiedBy>
  <cp:lastPrinted>2024-04-26T08:30:00Z</cp:lastPrinted>
  <dcterms:modified xsi:type="dcterms:W3CDTF">2024-05-06T07:36:15Z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52CC7ED992364A0FBA990C31F0726342_12</vt:lpwstr>
  </property>
</Properties>
</file>